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51" w:rsidRDefault="00C50251" w:rsidP="00C50251">
      <w:pPr>
        <w:spacing w:before="119" w:line="479" w:lineRule="exact"/>
        <w:ind w:right="66"/>
        <w:jc w:val="center"/>
        <w:rPr>
          <w:b/>
          <w:sz w:val="32"/>
        </w:rPr>
      </w:pPr>
      <w:r>
        <w:pict>
          <v:group id="_x0000_s1027" style="position:absolute;left:0;text-align:left;margin-left:24pt;margin-top:24pt;width:547.45pt;height:794.15pt;z-index:-251655168;mso-position-horizontal-relative:page;mso-position-vertical-relative:page" coordorigin="480,480" coordsize="10949,15883">
            <v:shape id="_x0000_s1028" type="#_x0000_t75" style="position:absolute;left:480;top:16141;width:222;height:221" stroked="t" strokecolor="#c0504d [3205]">
              <v:imagedata r:id="rId8" o:title=""/>
            </v:shape>
            <v:shape id="_x0000_s1029" style="position:absolute;left:701;top:16141;width:10507;height:221" coordorigin="701,16142" coordsize="10507,221" o:spt="100" adj="0,,0" path="m11207,16335r-10506,l701,16363r10506,l11207,16335xm11207,16142r-10506,l701,16171r10506,l11207,16142xe" fillcolor="#1c6093" strokecolor="#c0504d [3205]">
              <v:stroke joinstyle="round"/>
              <v:formulas/>
              <v:path arrowok="t" o:connecttype="segments"/>
            </v:shape>
            <v:shape id="_x0000_s1030" style="position:absolute;left:701;top:16171;width:10507;height:165" coordorigin="701,16171" coordsize="10507,165" o:spt="100" adj="0,,0" path="m11207,16308r-10506,l701,16335r10506,l11207,16308xm11207,16171r-10506,l701,16197r10506,l11207,16171xe" fillcolor="#7e7e7e" strokecolor="#c0504d [3205]">
              <v:stroke joinstyle="round"/>
              <v:formulas/>
              <v:path arrowok="t" o:connecttype="segments"/>
            </v:shape>
            <v:rect id="_x0000_s1031" style="position:absolute;left:701;top:16197;width:10507;height:111" fillcolor="#1c6093" strokecolor="#c0504d [3205]"/>
            <v:rect id="_x0000_s1032" style="position:absolute;left:701;top:16224;width:10507;height:56" fillcolor="#e4e4e4" strokecolor="#c0504d [3205]"/>
            <v:shape id="_x0000_s1033" type="#_x0000_t75" style="position:absolute;left:11207;top:16141;width:222;height:221" stroked="t" strokecolor="#c0504d [3205]">
              <v:imagedata r:id="rId9" o:title=""/>
            </v:shape>
            <v:shape id="_x0000_s1034" type="#_x0000_t75" style="position:absolute;left:480;top:480;width:222;height:221" stroked="t" strokecolor="#c0504d [3205]">
              <v:imagedata r:id="rId10" o:title=""/>
            </v:shape>
            <v:shape id="_x0000_s1035" style="position:absolute;left:701;top:480;width:10507;height:221" coordorigin="701,480" coordsize="10507,221" o:spt="100" adj="0,,0" path="m11207,673l701,673r,28l11207,701r,-28xm11207,480l701,480r,29l11207,509r,-29xe" fillcolor="#1c6093" strokecolor="#c0504d [3205]">
              <v:stroke joinstyle="round"/>
              <v:formulas/>
              <v:path arrowok="t" o:connecttype="segments"/>
            </v:shape>
            <v:shape id="_x0000_s1036" style="position:absolute;left:701;top:509;width:10507;height:165" coordorigin="701,509" coordsize="10507,165" o:spt="100" adj="0,,0" path="m11207,646l701,646r,27l11207,673r,-27xm11207,509l701,509r,26l11207,535r,-26xe" fillcolor="#7e7e7e" strokecolor="#c0504d [3205]">
              <v:stroke joinstyle="round"/>
              <v:formulas/>
              <v:path arrowok="t" o:connecttype="segments"/>
            </v:shape>
            <v:rect id="_x0000_s1037" style="position:absolute;left:701;top:535;width:10507;height:111" fillcolor="#1c6093" strokecolor="#c0504d [3205]"/>
            <v:rect id="_x0000_s1038" style="position:absolute;left:701;top:563;width:10507;height:56" fillcolor="#e4e4e4" strokecolor="#c0504d [3205]"/>
            <v:shape id="_x0000_s1039" type="#_x0000_t75" style="position:absolute;left:11207;top:480;width:222;height:221" stroked="t" strokecolor="#c0504d [3205]">
              <v:imagedata r:id="rId11" o:title=""/>
            </v:shape>
            <v:shape id="_x0000_s1040" style="position:absolute;left:11207;top:700;width:222;height:15442" coordorigin="11208,701" coordsize="222,15442" o:spt="100" adj="0,,0" path="m11235,701r-27,l11208,16142r27,l11235,701xm11429,701r-29,l11400,16142r29,l11429,701xe" fillcolor="#1c6093" strokecolor="#c0504d [3205]">
              <v:stroke joinstyle="round"/>
              <v:formulas/>
              <v:path arrowok="t" o:connecttype="segments"/>
            </v:shape>
            <v:shape id="_x0000_s1041" style="position:absolute;left:11235;top:700;width:165;height:15442" coordorigin="11235,701" coordsize="165,15442" o:spt="100" adj="0,,0" path="m11263,701r-28,l11235,16142r28,l11263,701xm11400,701r-26,l11374,16142r26,l11400,701xe" fillcolor="#7e7e7e" strokecolor="#c0504d [3205]">
              <v:stroke joinstyle="round"/>
              <v:formulas/>
              <v:path arrowok="t" o:connecttype="segments"/>
            </v:shape>
            <v:rect id="_x0000_s1042" style="position:absolute;left:11262;top:700;width:111;height:15442" fillcolor="#1c6093" strokecolor="#c0504d [3205]"/>
            <v:rect id="_x0000_s1043" style="position:absolute;left:11290;top:700;width:56;height:15442" fillcolor="#e4e4e4" strokecolor="#c0504d [3205]"/>
            <v:shape id="_x0000_s1044" style="position:absolute;left:480;top:700;width:222;height:15442" coordorigin="480,701" coordsize="222,15442" o:spt="100" adj="0,,0" path="m508,701r-28,l480,16142r28,l508,701xm701,701r-29,l672,16142r29,l701,701xe" fillcolor="#1c6093" strokecolor="#c0504d [3205]">
              <v:stroke joinstyle="round"/>
              <v:formulas/>
              <v:path arrowok="t" o:connecttype="segments"/>
            </v:shape>
            <v:shape id="_x0000_s1045" style="position:absolute;left:507;top:700;width:165;height:15442" coordorigin="508,701" coordsize="165,15442" o:spt="100" adj="0,,0" path="m535,701r-27,l508,16142r27,l535,701xm672,701r-26,l646,16142r26,l672,701xe" fillcolor="#7e7e7e" strokecolor="#c0504d [3205]">
              <v:stroke joinstyle="round"/>
              <v:formulas/>
              <v:path arrowok="t" o:connecttype="segments"/>
            </v:shape>
            <v:rect id="_x0000_s1046" style="position:absolute;left:535;top:700;width:111;height:15442" fillcolor="#1c6093" strokecolor="#c0504d [3205]"/>
            <v:rect id="_x0000_s1047" style="position:absolute;left:562;top:700;width:56;height:15442" fillcolor="#e4e4e4" strokecolor="#c0504d [3205]"/>
            <w10:wrap anchorx="page" anchory="page"/>
          </v:group>
        </w:pict>
      </w:r>
      <w:r>
        <w:rPr>
          <w:rFonts w:ascii="Courier New"/>
          <w:b/>
          <w:sz w:val="44"/>
        </w:rPr>
        <w:t>R</w:t>
      </w:r>
      <w:r>
        <w:rPr>
          <w:b/>
          <w:sz w:val="32"/>
        </w:rPr>
        <w:t>EPUBLIQUE</w:t>
      </w:r>
      <w:r>
        <w:rPr>
          <w:b/>
          <w:spacing w:val="31"/>
          <w:sz w:val="32"/>
        </w:rPr>
        <w:t xml:space="preserve"> </w:t>
      </w:r>
      <w:r>
        <w:rPr>
          <w:b/>
          <w:sz w:val="32"/>
        </w:rPr>
        <w:t>DU</w:t>
      </w:r>
      <w:r>
        <w:rPr>
          <w:b/>
          <w:spacing w:val="26"/>
          <w:sz w:val="32"/>
        </w:rPr>
        <w:t xml:space="preserve"> </w:t>
      </w:r>
      <w:r>
        <w:rPr>
          <w:b/>
          <w:sz w:val="32"/>
        </w:rPr>
        <w:t>SENEGAL</w:t>
      </w:r>
    </w:p>
    <w:p w:rsidR="00C50251" w:rsidRDefault="00C50251" w:rsidP="00C50251">
      <w:pPr>
        <w:pStyle w:val="Corpsdetexte"/>
        <w:spacing w:line="256" w:lineRule="exact"/>
        <w:ind w:left="1948" w:right="2007"/>
        <w:jc w:val="center"/>
      </w:pPr>
      <w:r>
        <w:rPr>
          <w:color w:val="008000"/>
        </w:rPr>
        <w:t>Un</w:t>
      </w:r>
      <w:r>
        <w:rPr>
          <w:color w:val="008000"/>
          <w:spacing w:val="20"/>
        </w:rPr>
        <w:t xml:space="preserve"> </w:t>
      </w:r>
      <w:r>
        <w:rPr>
          <w:color w:val="008000"/>
        </w:rPr>
        <w:t>Peuple</w:t>
      </w:r>
      <w:r>
        <w:rPr>
          <w:color w:val="008000"/>
          <w:spacing w:val="22"/>
        </w:rPr>
        <w:t xml:space="preserve"> </w:t>
      </w:r>
      <w:r>
        <w:rPr>
          <w:color w:val="FFFF00"/>
        </w:rPr>
        <w:t>Un</w:t>
      </w:r>
      <w:r>
        <w:rPr>
          <w:color w:val="FFFF00"/>
          <w:spacing w:val="20"/>
        </w:rPr>
        <w:t xml:space="preserve"> </w:t>
      </w:r>
      <w:r>
        <w:rPr>
          <w:color w:val="FFFF00"/>
        </w:rPr>
        <w:t>But</w:t>
      </w:r>
      <w:r>
        <w:rPr>
          <w:color w:val="FFFF00"/>
          <w:spacing w:val="23"/>
        </w:rPr>
        <w:t xml:space="preserve"> </w:t>
      </w:r>
      <w:r>
        <w:t>–</w:t>
      </w:r>
      <w:r>
        <w:rPr>
          <w:color w:val="FF0000"/>
        </w:rPr>
        <w:t>Une</w:t>
      </w:r>
      <w:r>
        <w:rPr>
          <w:color w:val="FF0000"/>
          <w:spacing w:val="20"/>
        </w:rPr>
        <w:t xml:space="preserve"> </w:t>
      </w:r>
      <w:r>
        <w:rPr>
          <w:color w:val="FF0000"/>
        </w:rPr>
        <w:t>Foi</w:t>
      </w:r>
    </w:p>
    <w:p w:rsidR="00C50251" w:rsidRDefault="00C50251" w:rsidP="00C50251">
      <w:pPr>
        <w:pStyle w:val="Corpsdetexte"/>
        <w:spacing w:before="8"/>
        <w:rPr>
          <w:sz w:val="19"/>
        </w:rPr>
      </w:pPr>
      <w:r>
        <w:rPr>
          <w:noProof/>
          <w:lang w:eastAsia="fr-FR"/>
        </w:rPr>
        <w:drawing>
          <wp:anchor distT="0" distB="0" distL="0" distR="0" simplePos="0" relativeHeight="251660288" behindDoc="0" locked="0" layoutInCell="1" allowOverlap="1" wp14:anchorId="55AA41AA" wp14:editId="7FA6019A">
            <wp:simplePos x="0" y="0"/>
            <wp:positionH relativeFrom="page">
              <wp:posOffset>3267018</wp:posOffset>
            </wp:positionH>
            <wp:positionV relativeFrom="paragraph">
              <wp:posOffset>168590</wp:posOffset>
            </wp:positionV>
            <wp:extent cx="1101083" cy="384809"/>
            <wp:effectExtent l="0" t="0" r="0" b="0"/>
            <wp:wrapTopAndBottom/>
            <wp:docPr id="1" name="image5.png" descr="http://www.villa-senegal.com/crbst_sfg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2" cstate="print"/>
                    <a:stretch>
                      <a:fillRect/>
                    </a:stretch>
                  </pic:blipFill>
                  <pic:spPr>
                    <a:xfrm>
                      <a:off x="0" y="0"/>
                      <a:ext cx="1101083" cy="384809"/>
                    </a:xfrm>
                    <a:prstGeom prst="rect">
                      <a:avLst/>
                    </a:prstGeom>
                  </pic:spPr>
                </pic:pic>
              </a:graphicData>
            </a:graphic>
          </wp:anchor>
        </w:drawing>
      </w:r>
    </w:p>
    <w:p w:rsidR="00C50251" w:rsidRDefault="00C50251" w:rsidP="00C50251">
      <w:pPr>
        <w:pStyle w:val="Corpsdetexte"/>
        <w:rPr>
          <w:sz w:val="20"/>
        </w:rPr>
      </w:pPr>
    </w:p>
    <w:p w:rsidR="00C50251" w:rsidRDefault="00C50251" w:rsidP="00C50251">
      <w:pPr>
        <w:pStyle w:val="Corpsdetexte"/>
        <w:spacing w:before="2"/>
        <w:rPr>
          <w:sz w:val="11"/>
        </w:rPr>
      </w:pPr>
      <w:r>
        <w:pict>
          <v:rect id="_x0000_s1048" style="position:absolute;margin-left:69.4pt;margin-top:8.4pt;width:456.65pt;height:.95pt;z-index:-251654144;mso-wrap-distance-left:0;mso-wrap-distance-right:0;mso-position-horizontal-relative:page" fillcolor="#4f81bc" stroked="f">
            <w10:wrap type="topAndBottom" anchorx="page"/>
          </v:rect>
        </w:pict>
      </w:r>
    </w:p>
    <w:p w:rsidR="00C50251" w:rsidRDefault="00C50251" w:rsidP="00C50251">
      <w:pPr>
        <w:pStyle w:val="Corpsdetexte"/>
        <w:spacing w:before="5"/>
        <w:rPr>
          <w:sz w:val="23"/>
        </w:rPr>
      </w:pPr>
    </w:p>
    <w:p w:rsidR="00C50251" w:rsidRDefault="00C50251" w:rsidP="00C50251">
      <w:pPr>
        <w:pStyle w:val="Corpsdetexte"/>
        <w:spacing w:line="272" w:lineRule="exact"/>
        <w:ind w:right="58"/>
        <w:jc w:val="center"/>
      </w:pPr>
      <w:r>
        <w:t>MINISTERE</w:t>
      </w:r>
      <w:r>
        <w:rPr>
          <w:spacing w:val="-3"/>
        </w:rPr>
        <w:t xml:space="preserve"> </w:t>
      </w:r>
      <w:r>
        <w:t>DE</w:t>
      </w:r>
      <w:r>
        <w:rPr>
          <w:spacing w:val="-3"/>
        </w:rPr>
        <w:t xml:space="preserve"> </w:t>
      </w:r>
      <w:r>
        <w:t>LA JUSTICE</w:t>
      </w:r>
    </w:p>
    <w:p w:rsidR="00C50251" w:rsidRDefault="00C50251" w:rsidP="00C50251">
      <w:pPr>
        <w:spacing w:line="272" w:lineRule="exact"/>
        <w:ind w:right="58"/>
        <w:jc w:val="center"/>
        <w:rPr>
          <w:sz w:val="24"/>
        </w:rPr>
      </w:pPr>
      <w:r>
        <w:rPr>
          <w:color w:val="00AF50"/>
          <w:sz w:val="24"/>
        </w:rPr>
        <w:t>****</w:t>
      </w:r>
      <w:r>
        <w:rPr>
          <w:color w:val="FFFF00"/>
          <w:sz w:val="24"/>
        </w:rPr>
        <w:t>***</w:t>
      </w:r>
      <w:r>
        <w:rPr>
          <w:color w:val="FF0000"/>
          <w:sz w:val="24"/>
        </w:rPr>
        <w:t>****</w:t>
      </w:r>
    </w:p>
    <w:p w:rsidR="00C50251" w:rsidRDefault="00C50251" w:rsidP="00C50251">
      <w:pPr>
        <w:pStyle w:val="Corpsdetexte"/>
        <w:spacing w:before="5"/>
        <w:rPr>
          <w:b w:val="0"/>
        </w:rPr>
      </w:pPr>
    </w:p>
    <w:p w:rsidR="00C50251" w:rsidRDefault="00C50251" w:rsidP="00C50251">
      <w:pPr>
        <w:pStyle w:val="Corpsdetexte"/>
        <w:spacing w:before="1" w:line="272" w:lineRule="exact"/>
        <w:ind w:right="51"/>
        <w:jc w:val="center"/>
      </w:pPr>
      <w:r>
        <w:t>CENTRE DE FORMATION JUDICIAIRE (C.F.J)</w:t>
      </w:r>
    </w:p>
    <w:p w:rsidR="00C50251" w:rsidRDefault="00C50251" w:rsidP="00C50251">
      <w:pPr>
        <w:spacing w:line="272" w:lineRule="exact"/>
        <w:ind w:right="58"/>
        <w:jc w:val="center"/>
        <w:rPr>
          <w:sz w:val="24"/>
        </w:rPr>
      </w:pPr>
      <w:r>
        <w:rPr>
          <w:color w:val="00AF50"/>
          <w:sz w:val="24"/>
        </w:rPr>
        <w:t>****</w:t>
      </w:r>
      <w:r>
        <w:rPr>
          <w:color w:val="FFFF00"/>
          <w:sz w:val="24"/>
        </w:rPr>
        <w:t>***</w:t>
      </w:r>
      <w:r>
        <w:rPr>
          <w:color w:val="FF0000"/>
          <w:sz w:val="24"/>
        </w:rPr>
        <w:t>****</w:t>
      </w:r>
    </w:p>
    <w:p w:rsidR="00C50251" w:rsidRDefault="00C50251" w:rsidP="00C50251">
      <w:pPr>
        <w:pStyle w:val="Corpsdetexte"/>
        <w:spacing w:before="11"/>
        <w:rPr>
          <w:b w:val="0"/>
          <w:sz w:val="23"/>
        </w:rPr>
      </w:pPr>
    </w:p>
    <w:p w:rsidR="00C50251" w:rsidRDefault="00C50251" w:rsidP="00C50251">
      <w:pPr>
        <w:pStyle w:val="Corpsdetexte"/>
        <w:ind w:right="67"/>
        <w:jc w:val="center"/>
      </w:pPr>
      <w:r>
        <w:t>SECTION MAGISTRATURE</w:t>
      </w:r>
    </w:p>
    <w:p w:rsidR="00C50251" w:rsidRDefault="00C50251" w:rsidP="00C50251">
      <w:pPr>
        <w:pStyle w:val="Corpsdetexte"/>
        <w:rPr>
          <w:sz w:val="20"/>
        </w:rPr>
      </w:pPr>
      <w:r>
        <w:rPr>
          <w:noProof/>
          <w:lang w:eastAsia="fr-FR"/>
        </w:rPr>
        <w:drawing>
          <wp:anchor distT="0" distB="0" distL="0" distR="0" simplePos="0" relativeHeight="251659264" behindDoc="0" locked="0" layoutInCell="1" allowOverlap="1" wp14:anchorId="1E9871E6" wp14:editId="59564F42">
            <wp:simplePos x="0" y="0"/>
            <wp:positionH relativeFrom="page">
              <wp:posOffset>2226945</wp:posOffset>
            </wp:positionH>
            <wp:positionV relativeFrom="paragraph">
              <wp:posOffset>184785</wp:posOffset>
            </wp:positionV>
            <wp:extent cx="3101340" cy="1135380"/>
            <wp:effectExtent l="0" t="0" r="3810" b="762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rotWithShape="1">
                    <a:blip r:embed="rId13" cstate="print">
                      <a:extLst>
                        <a:ext uri="{28A0092B-C50C-407E-A947-70E740481C1C}">
                          <a14:useLocalDpi xmlns:a14="http://schemas.microsoft.com/office/drawing/2010/main" val="0"/>
                        </a:ext>
                      </a:extLst>
                    </a:blip>
                    <a:srcRect t="10778"/>
                    <a:stretch/>
                  </pic:blipFill>
                  <pic:spPr bwMode="auto">
                    <a:xfrm>
                      <a:off x="0" y="0"/>
                      <a:ext cx="3101340" cy="1135380"/>
                    </a:xfrm>
                    <a:prstGeom prst="rect">
                      <a:avLst/>
                    </a:prstGeom>
                    <a:ln>
                      <a:noFill/>
                    </a:ln>
                    <a:extLst>
                      <a:ext uri="{53640926-AAD7-44D8-BBD7-CCE9431645EC}">
                        <a14:shadowObscured xmlns:a14="http://schemas.microsoft.com/office/drawing/2010/main"/>
                      </a:ext>
                    </a:extLst>
                  </pic:spPr>
                </pic:pic>
              </a:graphicData>
            </a:graphic>
          </wp:anchor>
        </w:drawing>
      </w:r>
    </w:p>
    <w:p w:rsidR="00C50251" w:rsidRDefault="00C50251" w:rsidP="00C50251">
      <w:pPr>
        <w:pStyle w:val="Corpsdetexte"/>
        <w:spacing w:before="2"/>
      </w:pPr>
    </w:p>
    <w:p w:rsidR="00C50251" w:rsidRDefault="00C50251" w:rsidP="00C50251">
      <w:pPr>
        <w:pStyle w:val="Titre1"/>
        <w:spacing w:before="86"/>
      </w:pPr>
      <w:r>
        <w:rPr>
          <w:u w:val="thick"/>
        </w:rPr>
        <w:t>TRAVAUX DE FIN DE FORMATION</w:t>
      </w:r>
    </w:p>
    <w:p w:rsidR="00C50251" w:rsidRDefault="00C50251" w:rsidP="00C50251">
      <w:pPr>
        <w:pStyle w:val="Corpsdetexte"/>
        <w:spacing w:before="3"/>
      </w:pPr>
    </w:p>
    <w:p w:rsidR="00C50251" w:rsidRDefault="00C50251" w:rsidP="00C50251">
      <w:pPr>
        <w:pStyle w:val="Titre1"/>
        <w:ind w:right="60"/>
      </w:pPr>
      <w:r>
        <w:rPr>
          <w:u w:val="single"/>
        </w:rPr>
        <w:pict>
          <v:group id="_x0000_s1049" style="position:absolute;left:0;text-align:left;margin-left:62.65pt;margin-top:29.05pt;width:473pt;height:98.45pt;z-index:-251653120;mso-wrap-distance-left:0;mso-wrap-distance-right:0;mso-position-horizontal-relative:page" coordorigin="1253,581" coordsize="9460,1969">
            <v:shape id="_x0000_s1050" type="#_x0000_t75" style="position:absolute;left:1253;top:580;width:9403;height:663">
              <v:imagedata r:id="rId14" o:title=""/>
            </v:shape>
            <v:rect id="_x0000_s1051" style="position:absolute;left:10655;top:638;width:58;height:605" fillcolor="black" stroked="f"/>
            <v:rect id="_x0000_s1052" style="position:absolute;left:1310;top:1243;width:9287;height:582" fillcolor="#74b5e3" stroked="f"/>
            <v:shape id="_x0000_s1053" type="#_x0000_t75" style="position:absolute;left:10598;top:638;width:58;height:1182">
              <v:imagedata r:id="rId15" o:title=""/>
            </v:shape>
            <v:shape id="_x0000_s1054" type="#_x0000_t75" style="position:absolute;left:1253;top:1243;width:58;height:577">
              <v:imagedata r:id="rId16" o:title=""/>
            </v:shape>
            <v:line id="_x0000_s1055" style="position:absolute" from="1253,1822" to="1311,1822" strokeweight=".08469mm">
              <v:stroke dashstyle="dot"/>
            </v:line>
            <v:rect id="_x0000_s1056" style="position:absolute;left:10655;top:1243;width:58;height:582" fillcolor="black" stroked="f"/>
            <v:line id="_x0000_s1057" style="position:absolute" from="10598,1822" to="10656,1822" strokeweight=".08469mm">
              <v:stroke dashstyle="dot"/>
            </v:line>
            <v:rect id="_x0000_s1058" style="position:absolute;left:1310;top:1824;width:9287;height:610" fillcolor="#74b5e3" stroked="f"/>
            <v:shape id="_x0000_s1059" type="#_x0000_t75" style="position:absolute;left:1253;top:2434;width:58;height:58">
              <v:imagedata r:id="rId17" o:title=""/>
            </v:shape>
            <v:shape id="_x0000_s1060" type="#_x0000_t75" style="position:absolute;left:1310;top:2434;width:9288;height:116">
              <v:imagedata r:id="rId18" o:title=""/>
            </v:shape>
            <v:shape id="_x0000_s1061" type="#_x0000_t75" style="position:absolute;left:10598;top:2434;width:116;height:116">
              <v:imagedata r:id="rId19" o:title=""/>
            </v:shape>
            <v:shape id="_x0000_s1062" type="#_x0000_t75" style="position:absolute;left:1253;top:1824;width:58;height:610">
              <v:imagedata r:id="rId20" o:title=""/>
            </v:shape>
            <v:shape id="_x0000_s1063" type="#_x0000_t75" style="position:absolute;left:10598;top:1824;width:116;height:610">
              <v:imagedata r:id="rId21" o:title=""/>
            </v:shape>
            <v:shapetype id="_x0000_t202" coordsize="21600,21600" o:spt="202" path="m,l,21600r21600,l21600,xe">
              <v:stroke joinstyle="miter"/>
              <v:path gradientshapeok="t" o:connecttype="rect"/>
            </v:shapetype>
            <v:shape id="_x0000_s1064" type="#_x0000_t202" style="position:absolute;left:1253;top:580;width:9460;height:1969" fillcolor="#c0504d [3205]" strokecolor="#f2f2f2 [3041]" strokeweight="3pt">
              <v:shadow on="t" type="perspective" color="#622423 [1605]" opacity=".5" offset="1pt" offset2="-1pt"/>
              <v:textbox inset="0,0,0,0">
                <w:txbxContent>
                  <w:p w:rsidR="00C50251" w:rsidRPr="00D672C5" w:rsidRDefault="00C50251" w:rsidP="00C50251">
                    <w:pPr>
                      <w:tabs>
                        <w:tab w:val="left" w:pos="6900"/>
                      </w:tabs>
                      <w:spacing w:before="79"/>
                      <w:ind w:left="605" w:right="665"/>
                      <w:jc w:val="center"/>
                      <w:rPr>
                        <w:b/>
                        <w:sz w:val="44"/>
                        <w:lang w:val="fr-SN"/>
                      </w:rPr>
                    </w:pPr>
                    <w:r>
                      <w:rPr>
                        <w:b/>
                        <w:sz w:val="44"/>
                        <w:lang w:val="fr-SN"/>
                      </w:rPr>
                      <w:t>ANNOTATION DES ARTICLES 426 à 429 DU CODE DES DOUANES SENEGALAIS</w:t>
                    </w:r>
                  </w:p>
                </w:txbxContent>
              </v:textbox>
            </v:shape>
            <w10:wrap type="topAndBottom" anchorx="page"/>
          </v:group>
        </w:pict>
      </w:r>
      <w:r w:rsidRPr="003252CA">
        <w:rPr>
          <w:u w:val="single"/>
        </w:rPr>
        <w:t>SUJET</w:t>
      </w:r>
      <w:r>
        <w:rPr>
          <w:spacing w:val="-4"/>
        </w:rPr>
        <w:t xml:space="preserve"> </w:t>
      </w:r>
      <w:r>
        <w:t>:</w:t>
      </w:r>
    </w:p>
    <w:p w:rsidR="00C50251" w:rsidRDefault="00C50251" w:rsidP="00C50251">
      <w:pPr>
        <w:tabs>
          <w:tab w:val="left" w:pos="6374"/>
        </w:tabs>
        <w:spacing w:line="295" w:lineRule="exact"/>
        <w:ind w:left="276"/>
        <w:rPr>
          <w:b/>
          <w:sz w:val="28"/>
          <w:u w:val="thick"/>
        </w:rPr>
      </w:pPr>
    </w:p>
    <w:p w:rsidR="00C50251" w:rsidRDefault="00C50251" w:rsidP="00C50251">
      <w:pPr>
        <w:tabs>
          <w:tab w:val="left" w:pos="6374"/>
        </w:tabs>
        <w:spacing w:line="295" w:lineRule="exact"/>
        <w:ind w:left="276"/>
        <w:rPr>
          <w:b/>
          <w:sz w:val="28"/>
        </w:rPr>
      </w:pPr>
      <w:r>
        <w:rPr>
          <w:b/>
          <w:sz w:val="28"/>
          <w:u w:val="thick"/>
        </w:rPr>
        <w:t>Présenté</w:t>
      </w:r>
      <w:r>
        <w:rPr>
          <w:b/>
          <w:spacing w:val="-2"/>
          <w:sz w:val="28"/>
          <w:u w:val="thick"/>
        </w:rPr>
        <w:t xml:space="preserve"> </w:t>
      </w:r>
      <w:r>
        <w:rPr>
          <w:b/>
          <w:sz w:val="28"/>
          <w:u w:val="thick"/>
        </w:rPr>
        <w:t>par</w:t>
      </w:r>
      <w:r>
        <w:rPr>
          <w:b/>
          <w:spacing w:val="1"/>
          <w:sz w:val="28"/>
        </w:rPr>
        <w:t xml:space="preserve"> </w:t>
      </w:r>
      <w:r>
        <w:rPr>
          <w:b/>
          <w:sz w:val="28"/>
        </w:rPr>
        <w:t>:</w:t>
      </w:r>
    </w:p>
    <w:p w:rsidR="00C50251" w:rsidRPr="00A0607F" w:rsidRDefault="00C50251" w:rsidP="00C50251">
      <w:pPr>
        <w:tabs>
          <w:tab w:val="left" w:pos="4461"/>
        </w:tabs>
        <w:spacing w:before="87"/>
        <w:ind w:right="87"/>
        <w:rPr>
          <w:b/>
          <w:sz w:val="24"/>
          <w:lang w:val="fr-SN"/>
        </w:rPr>
      </w:pPr>
      <w:r>
        <w:rPr>
          <w:b/>
          <w:sz w:val="24"/>
          <w:lang w:val="fr-SN"/>
        </w:rPr>
        <w:t>YACINE NDIAYE</w:t>
      </w:r>
    </w:p>
    <w:p w:rsidR="00C50251" w:rsidRPr="00A0607F" w:rsidRDefault="00C50251" w:rsidP="00C50251">
      <w:pPr>
        <w:tabs>
          <w:tab w:val="left" w:pos="4461"/>
        </w:tabs>
        <w:spacing w:before="87"/>
        <w:ind w:right="87"/>
        <w:rPr>
          <w:b/>
          <w:sz w:val="28"/>
          <w:lang w:val="fr-SN"/>
        </w:rPr>
      </w:pPr>
      <w:r w:rsidRPr="003252CA">
        <w:rPr>
          <w:b/>
          <w:sz w:val="24"/>
        </w:rPr>
        <w:t>Audit</w:t>
      </w:r>
      <w:r>
        <w:rPr>
          <w:b/>
          <w:sz w:val="24"/>
        </w:rPr>
        <w:t>rice</w:t>
      </w:r>
      <w:r w:rsidRPr="00A0607F">
        <w:rPr>
          <w:b/>
          <w:sz w:val="24"/>
          <w:lang w:val="fr-SN"/>
        </w:rPr>
        <w:t xml:space="preserve"> de justice</w:t>
      </w:r>
      <w:r w:rsidRPr="00A0607F">
        <w:rPr>
          <w:b/>
          <w:sz w:val="24"/>
          <w:lang w:val="fr-SN"/>
        </w:rPr>
        <w:tab/>
      </w:r>
    </w:p>
    <w:p w:rsidR="00C50251" w:rsidRDefault="00C50251" w:rsidP="00C50251">
      <w:pPr>
        <w:pStyle w:val="Corpsdetexte"/>
        <w:rPr>
          <w:sz w:val="26"/>
        </w:rPr>
      </w:pPr>
    </w:p>
    <w:p w:rsidR="00C50251" w:rsidRDefault="00C50251" w:rsidP="00C50251">
      <w:pPr>
        <w:pStyle w:val="Corpsdetexte"/>
        <w:spacing w:before="158"/>
        <w:ind w:right="56"/>
        <w:jc w:val="center"/>
      </w:pPr>
      <w:r>
        <w:t>Promotion :</w:t>
      </w:r>
      <w:r>
        <w:rPr>
          <w:spacing w:val="1"/>
        </w:rPr>
        <w:t xml:space="preserve"> </w:t>
      </w:r>
      <w:r>
        <w:t>2021 / 2023</w:t>
      </w:r>
    </w:p>
    <w:p w:rsidR="00C50251" w:rsidRDefault="00C50251" w:rsidP="001E5084">
      <w:pPr>
        <w:tabs>
          <w:tab w:val="left" w:pos="142"/>
          <w:tab w:val="left" w:pos="567"/>
          <w:tab w:val="left" w:pos="709"/>
        </w:tabs>
        <w:spacing w:line="360" w:lineRule="auto"/>
        <w:jc w:val="both"/>
        <w:rPr>
          <w:rFonts w:ascii="Times New Roman" w:hAnsi="Times New Roman" w:cs="Times New Roman"/>
          <w:b/>
          <w:sz w:val="24"/>
          <w:szCs w:val="24"/>
          <w:u w:val="single"/>
        </w:rPr>
      </w:pPr>
    </w:p>
    <w:p w:rsidR="002C5FA3" w:rsidRPr="0034540D" w:rsidRDefault="002C5FA3" w:rsidP="001E5084">
      <w:pPr>
        <w:tabs>
          <w:tab w:val="left" w:pos="142"/>
          <w:tab w:val="left" w:pos="567"/>
          <w:tab w:val="left" w:pos="709"/>
        </w:tabs>
        <w:spacing w:line="360" w:lineRule="auto"/>
        <w:jc w:val="both"/>
        <w:rPr>
          <w:rFonts w:ascii="Times New Roman" w:hAnsi="Times New Roman" w:cs="Times New Roman"/>
          <w:b/>
          <w:sz w:val="24"/>
          <w:szCs w:val="24"/>
          <w:u w:val="single"/>
        </w:rPr>
      </w:pPr>
      <w:bookmarkStart w:id="0" w:name="_GoBack"/>
      <w:bookmarkEnd w:id="0"/>
      <w:r w:rsidRPr="0034540D">
        <w:rPr>
          <w:rFonts w:ascii="Times New Roman" w:hAnsi="Times New Roman" w:cs="Times New Roman"/>
          <w:b/>
          <w:sz w:val="24"/>
          <w:szCs w:val="24"/>
          <w:u w:val="single"/>
        </w:rPr>
        <w:lastRenderedPageBreak/>
        <w:t>Introduction </w:t>
      </w:r>
    </w:p>
    <w:p w:rsidR="002C5FA3" w:rsidRPr="0034540D" w:rsidRDefault="002C5FA3" w:rsidP="001E5084">
      <w:pPr>
        <w:tabs>
          <w:tab w:val="left" w:pos="142"/>
          <w:tab w:val="left" w:pos="567"/>
          <w:tab w:val="left" w:pos="709"/>
        </w:tabs>
        <w:spacing w:before="100" w:beforeAutospacing="1" w:after="100" w:afterAutospacing="1"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Dans le cadre de la création de sous ensembles régionaux, huit Etats de l’Afrique de l’ouest à savoir </w:t>
      </w:r>
      <w:r w:rsidRPr="0034540D">
        <w:rPr>
          <w:rFonts w:ascii="Times New Roman" w:eastAsia="Times New Roman" w:hAnsi="Times New Roman" w:cs="Times New Roman"/>
          <w:color w:val="1A1A1A"/>
          <w:sz w:val="24"/>
          <w:szCs w:val="24"/>
          <w:lang w:eastAsia="fr-FR"/>
        </w:rPr>
        <w:t>le Benin, le Burkina Faso, la Côte d’Ivoire, la Guinée-Bissau, le Mali, le Niger, le Sénégal et le Togo</w:t>
      </w:r>
      <w:r w:rsidRPr="0034540D">
        <w:rPr>
          <w:rFonts w:ascii="Times New Roman" w:hAnsi="Times New Roman" w:cs="Times New Roman"/>
          <w:sz w:val="24"/>
          <w:szCs w:val="24"/>
        </w:rPr>
        <w:t xml:space="preserve"> ont décidé crée</w:t>
      </w:r>
      <w:r w:rsidRPr="0034540D">
        <w:rPr>
          <w:rFonts w:ascii="Times New Roman" w:eastAsia="Times New Roman" w:hAnsi="Times New Roman" w:cs="Times New Roman"/>
          <w:color w:val="1A1A1A"/>
          <w:sz w:val="24"/>
          <w:szCs w:val="24"/>
          <w:lang w:eastAsia="fr-FR"/>
        </w:rPr>
        <w:t xml:space="preserve"> l’Union  Monétaire Ouest Africaine (UMOA)</w:t>
      </w:r>
      <w:r w:rsidRPr="0034540D">
        <w:rPr>
          <w:rFonts w:ascii="Times New Roman" w:hAnsi="Times New Roman" w:cs="Times New Roman"/>
          <w:sz w:val="24"/>
          <w:szCs w:val="24"/>
        </w:rPr>
        <w:t xml:space="preserve">. Cette entité, mise en place à travers le traité de l’UMOA  devenue à travers le Traité du 1994  Union Economique et Monétaire  Ouest Africaine s’était basée sur trois principes fondateurs : </w:t>
      </w:r>
      <w:r w:rsidRPr="0034540D">
        <w:rPr>
          <w:rFonts w:ascii="Times New Roman" w:eastAsia="Times New Roman" w:hAnsi="Times New Roman" w:cs="Times New Roman"/>
          <w:color w:val="1A1A1A"/>
          <w:sz w:val="24"/>
          <w:szCs w:val="24"/>
          <w:lang w:eastAsia="fr-FR"/>
        </w:rPr>
        <w:t xml:space="preserve">une monnaie unitaire (le Franc CFA (FCFA), une banque centrale (la Banque Centrale des Etats de l’Afrique de l’Ouest (BCEAO) et une législation monétaire uniforme. Cette  volonté commune a conduit à  l’uniformisation de certaines de leurs règles dans certains domaines. C’est   ainsi qu’en matière de relations financières avec l’étranger, les Etats membres ont </w:t>
      </w:r>
      <w:r w:rsidRPr="0034540D">
        <w:rPr>
          <w:rFonts w:ascii="Times New Roman" w:hAnsi="Times New Roman" w:cs="Times New Roman"/>
          <w:sz w:val="24"/>
          <w:szCs w:val="24"/>
        </w:rPr>
        <w:t xml:space="preserve">convenu d’uniformiser la réglementation de leurs relations financières extérieures.  Ils ont décidé d’instaurer un contrôle des changes qui est un «  ensemble de mesures dérogatoires au principe de la liberté des relations financières avec l’étranger, soumettant à des limitations ou à des autorisations les transferts de capitaux et des moyens de paiement à l’étranger, ainsi que  la possession  d’avoirs en devises par les nationaux ». </w:t>
      </w:r>
    </w:p>
    <w:p w:rsidR="002C5FA3" w:rsidRPr="0034540D" w:rsidRDefault="002C5FA3" w:rsidP="001E5084">
      <w:pPr>
        <w:tabs>
          <w:tab w:val="left" w:pos="142"/>
          <w:tab w:val="left" w:pos="567"/>
          <w:tab w:val="left" w:pos="709"/>
        </w:tabs>
        <w:spacing w:before="100" w:beforeAutospacing="1" w:after="100" w:afterAutospacing="1"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 La sanction de l’inobservation  des règles relatives aux changes est prévue dans le cadre de cette Union avec obligation pour les Etats de les transposer.  Pour déterminer les infractions constitutives d’infraction à la législation  des changes, le législateur sénégalais, à travers la loi n°2014-10 du 28 février 2014  portant Code des Douanes ,a consacré les articles 426 et 427,  dont il est question pour nous d’annoter, à définir les violations  constitutives d’infractions à la législation des changes  et les autorités habilitées à déclencher le cas échéant des poursuites. Il a en outre  adopté la loi n°2014-12 du 28 février </w:t>
      </w:r>
      <w:r w:rsidRPr="0034540D">
        <w:rPr>
          <w:rFonts w:ascii="Times New Roman" w:hAnsi="Times New Roman" w:cs="Times New Roman"/>
          <w:bCs/>
          <w:sz w:val="24"/>
          <w:szCs w:val="24"/>
        </w:rPr>
        <w:t>2014 sur le contentieux des infractions à la réglementation des relations financières  extérieures  des Etats membres de l’Union Economique et Monétaire  Ouest Africaine (UEMOA) pour définir les règles qui entourent tout le contentieux relatif à la législation des changes</w:t>
      </w:r>
      <w:r w:rsidRPr="0034540D">
        <w:rPr>
          <w:rFonts w:ascii="Times New Roman" w:hAnsi="Times New Roman" w:cs="Times New Roman"/>
          <w:sz w:val="24"/>
          <w:szCs w:val="24"/>
        </w:rPr>
        <w:t xml:space="preserve">. </w:t>
      </w:r>
    </w:p>
    <w:p w:rsidR="002C5FA3" w:rsidRPr="0034540D" w:rsidRDefault="002C5FA3" w:rsidP="001E5084">
      <w:pPr>
        <w:tabs>
          <w:tab w:val="left" w:pos="142"/>
          <w:tab w:val="left" w:pos="567"/>
          <w:tab w:val="left" w:pos="709"/>
        </w:tabs>
        <w:spacing w:before="100" w:beforeAutospacing="1" w:after="100" w:afterAutospacing="1"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Par ailleurs certains domaines comme ceux relatifs </w:t>
      </w:r>
      <w:r w:rsidRPr="0034540D">
        <w:rPr>
          <w:rFonts w:ascii="Times New Roman" w:hAnsi="Times New Roman" w:cs="Times New Roman"/>
          <w:b/>
          <w:sz w:val="24"/>
          <w:szCs w:val="24"/>
        </w:rPr>
        <w:t xml:space="preserve"> </w:t>
      </w:r>
      <w:r w:rsidRPr="0034540D">
        <w:rPr>
          <w:rFonts w:ascii="Times New Roman" w:hAnsi="Times New Roman" w:cs="Times New Roman"/>
          <w:sz w:val="24"/>
          <w:szCs w:val="24"/>
        </w:rPr>
        <w:t>aux  stupéfiants, substances psychotropes et précurseurs, même si les Etats  coopèrent dans un cadre plus large, n’ont pas encore fait l’objet d’uniformiser quant aux règles. Au Sénégal,  c’est la loi  n°97-18 du 1</w:t>
      </w:r>
      <w:r w:rsidRPr="0034540D">
        <w:rPr>
          <w:rFonts w:ascii="Times New Roman" w:hAnsi="Times New Roman" w:cs="Times New Roman"/>
          <w:sz w:val="24"/>
          <w:szCs w:val="24"/>
          <w:vertAlign w:val="superscript"/>
        </w:rPr>
        <w:t>er</w:t>
      </w:r>
      <w:r w:rsidRPr="0034540D">
        <w:rPr>
          <w:rFonts w:ascii="Times New Roman" w:hAnsi="Times New Roman" w:cs="Times New Roman"/>
          <w:sz w:val="24"/>
          <w:szCs w:val="24"/>
        </w:rPr>
        <w:t xml:space="preserve"> décembre 1997 portant Code des drogues qui régit cette matière. Pour un renforcement plus accru de la lutte contre stupéfiants, substances psychotropes et </w:t>
      </w:r>
      <w:r w:rsidRPr="0034540D">
        <w:rPr>
          <w:rFonts w:ascii="Times New Roman" w:hAnsi="Times New Roman" w:cs="Times New Roman"/>
          <w:sz w:val="24"/>
          <w:szCs w:val="24"/>
        </w:rPr>
        <w:lastRenderedPageBreak/>
        <w:t xml:space="preserve">précurseurs, l’article 428 du code des Douanes, prévoit l’application dudit code en ces matières sous réserves des dispositions de la loi portant code des drogues.  </w:t>
      </w:r>
    </w:p>
    <w:p w:rsidR="002C5FA3" w:rsidRPr="0034540D" w:rsidRDefault="002C5FA3" w:rsidP="001E5084">
      <w:pPr>
        <w:tabs>
          <w:tab w:val="left" w:pos="142"/>
          <w:tab w:val="left" w:pos="567"/>
          <w:tab w:val="left" w:pos="709"/>
        </w:tabs>
        <w:spacing w:before="100" w:beforeAutospacing="1" w:after="100" w:afterAutospacing="1"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Dans le cadre de ce travail, l’exercice demandé est l’annotation les articles 426, 427, 428 et 429   de la loi 2014-10 du 28 février 2014 portant du Code des Douanes. </w:t>
      </w:r>
    </w:p>
    <w:p w:rsidR="002C5FA3" w:rsidRPr="0034540D" w:rsidRDefault="002C5FA3" w:rsidP="001E5084">
      <w:pPr>
        <w:tabs>
          <w:tab w:val="left" w:pos="142"/>
          <w:tab w:val="left" w:pos="567"/>
          <w:tab w:val="left" w:pos="709"/>
        </w:tabs>
        <w:spacing w:before="100" w:beforeAutospacing="1" w:after="100" w:afterAutospacing="1" w:line="360" w:lineRule="auto"/>
        <w:jc w:val="both"/>
        <w:rPr>
          <w:rFonts w:ascii="Times New Roman" w:hAnsi="Times New Roman" w:cs="Times New Roman"/>
          <w:sz w:val="24"/>
          <w:szCs w:val="24"/>
        </w:rPr>
      </w:pPr>
      <w:r w:rsidRPr="0034540D">
        <w:rPr>
          <w:rFonts w:ascii="Times New Roman" w:hAnsi="Times New Roman" w:cs="Times New Roman"/>
          <w:sz w:val="24"/>
          <w:szCs w:val="24"/>
        </w:rPr>
        <w:t>Le terme « annotation » vient du verbe « annoter » qui signifie  « </w:t>
      </w:r>
      <w:r w:rsidRPr="0034540D">
        <w:rPr>
          <w:rFonts w:ascii="Times New Roman" w:hAnsi="Times New Roman" w:cs="Times New Roman"/>
          <w:i/>
          <w:sz w:val="24"/>
          <w:szCs w:val="24"/>
        </w:rPr>
        <w:t>accompagner un texte publié de notes et remarques critiques pour en commenter ou interpréter  les passages douteux ou obscurs </w:t>
      </w:r>
      <w:r w:rsidRPr="0034540D">
        <w:rPr>
          <w:rFonts w:ascii="Times New Roman" w:hAnsi="Times New Roman" w:cs="Times New Roman"/>
          <w:sz w:val="24"/>
          <w:szCs w:val="24"/>
        </w:rPr>
        <w:t xml:space="preserve">» (selon le site lalanguefrancaise.com. consulté le 19 avril 2023 à 17h).  C’est ainsi nous nous efforcerons  d’apporter des notes et des remarques en faisant appel à d’autres textes, aux travaux d’autres personnes, à la jurisprudence mais aussi à nos connaissances personnelles. Notons toutefois qu’en matière de changes, la jurisprudence n’est pas abondante. Cela peut s’appliquer du fait de la possibilité de transaction offerte au Ministre chargé des Finances ou de son représentant.  </w:t>
      </w:r>
    </w:p>
    <w:p w:rsidR="002C5FA3" w:rsidRPr="0034540D" w:rsidRDefault="002C5FA3" w:rsidP="001E5084">
      <w:pPr>
        <w:tabs>
          <w:tab w:val="left" w:pos="142"/>
          <w:tab w:val="left" w:pos="567"/>
          <w:tab w:val="left" w:pos="709"/>
        </w:tabs>
        <w:spacing w:line="360" w:lineRule="auto"/>
        <w:jc w:val="both"/>
        <w:rPr>
          <w:rFonts w:ascii="Times New Roman" w:hAnsi="Times New Roman" w:cs="Times New Roman"/>
          <w:sz w:val="24"/>
          <w:szCs w:val="24"/>
        </w:rPr>
      </w:pPr>
    </w:p>
    <w:p w:rsidR="002C5FA3" w:rsidRPr="0034540D" w:rsidRDefault="002C5FA3" w:rsidP="001E5084">
      <w:pPr>
        <w:tabs>
          <w:tab w:val="left" w:pos="142"/>
          <w:tab w:val="left" w:pos="567"/>
          <w:tab w:val="left" w:pos="709"/>
        </w:tabs>
        <w:jc w:val="center"/>
        <w:rPr>
          <w:rFonts w:ascii="Times New Roman" w:hAnsi="Times New Roman" w:cs="Times New Roman"/>
          <w:b/>
          <w:sz w:val="24"/>
          <w:szCs w:val="24"/>
          <w:u w:val="single"/>
        </w:rPr>
      </w:pPr>
    </w:p>
    <w:p w:rsidR="002C5FA3" w:rsidRPr="0034540D" w:rsidRDefault="002C5FA3" w:rsidP="001E5084">
      <w:pPr>
        <w:tabs>
          <w:tab w:val="left" w:pos="142"/>
          <w:tab w:val="left" w:pos="567"/>
          <w:tab w:val="left" w:pos="709"/>
        </w:tabs>
        <w:jc w:val="center"/>
        <w:rPr>
          <w:rFonts w:ascii="Times New Roman" w:hAnsi="Times New Roman" w:cs="Times New Roman"/>
          <w:b/>
          <w:sz w:val="24"/>
          <w:szCs w:val="24"/>
          <w:u w:val="single"/>
        </w:rPr>
      </w:pPr>
    </w:p>
    <w:p w:rsidR="002C5FA3" w:rsidRPr="0034540D" w:rsidRDefault="002C5FA3" w:rsidP="001E5084">
      <w:pPr>
        <w:tabs>
          <w:tab w:val="left" w:pos="142"/>
          <w:tab w:val="left" w:pos="567"/>
          <w:tab w:val="left" w:pos="709"/>
        </w:tabs>
        <w:jc w:val="center"/>
        <w:rPr>
          <w:rFonts w:ascii="Times New Roman" w:hAnsi="Times New Roman" w:cs="Times New Roman"/>
          <w:b/>
          <w:sz w:val="24"/>
          <w:szCs w:val="24"/>
          <w:u w:val="single"/>
        </w:rPr>
      </w:pPr>
    </w:p>
    <w:p w:rsidR="002C5FA3" w:rsidRPr="0034540D" w:rsidRDefault="002C5FA3" w:rsidP="001E5084">
      <w:pPr>
        <w:tabs>
          <w:tab w:val="left" w:pos="142"/>
          <w:tab w:val="left" w:pos="567"/>
          <w:tab w:val="left" w:pos="709"/>
        </w:tabs>
        <w:jc w:val="center"/>
        <w:rPr>
          <w:rFonts w:ascii="Times New Roman" w:hAnsi="Times New Roman" w:cs="Times New Roman"/>
          <w:b/>
          <w:sz w:val="24"/>
          <w:szCs w:val="24"/>
          <w:u w:val="single"/>
        </w:rPr>
      </w:pPr>
    </w:p>
    <w:p w:rsidR="002C5FA3" w:rsidRPr="0034540D" w:rsidRDefault="002C5FA3" w:rsidP="001E5084">
      <w:pPr>
        <w:tabs>
          <w:tab w:val="left" w:pos="142"/>
          <w:tab w:val="left" w:pos="567"/>
          <w:tab w:val="left" w:pos="709"/>
        </w:tabs>
        <w:jc w:val="center"/>
        <w:rPr>
          <w:rFonts w:ascii="Times New Roman" w:hAnsi="Times New Roman" w:cs="Times New Roman"/>
          <w:b/>
          <w:sz w:val="24"/>
          <w:szCs w:val="24"/>
          <w:u w:val="single"/>
        </w:rPr>
      </w:pPr>
    </w:p>
    <w:p w:rsidR="002C5FA3" w:rsidRPr="0034540D" w:rsidRDefault="002C5FA3" w:rsidP="001E5084">
      <w:pPr>
        <w:tabs>
          <w:tab w:val="left" w:pos="142"/>
          <w:tab w:val="left" w:pos="567"/>
          <w:tab w:val="left" w:pos="709"/>
        </w:tabs>
        <w:jc w:val="center"/>
        <w:rPr>
          <w:rFonts w:ascii="Times New Roman" w:hAnsi="Times New Roman" w:cs="Times New Roman"/>
          <w:b/>
          <w:sz w:val="24"/>
          <w:szCs w:val="24"/>
          <w:u w:val="single"/>
        </w:rPr>
      </w:pPr>
    </w:p>
    <w:p w:rsidR="002C5FA3" w:rsidRPr="0034540D" w:rsidRDefault="002C5FA3" w:rsidP="001E5084">
      <w:pPr>
        <w:tabs>
          <w:tab w:val="left" w:pos="142"/>
          <w:tab w:val="left" w:pos="567"/>
          <w:tab w:val="left" w:pos="709"/>
        </w:tabs>
        <w:jc w:val="center"/>
        <w:rPr>
          <w:rFonts w:ascii="Times New Roman" w:hAnsi="Times New Roman" w:cs="Times New Roman"/>
          <w:b/>
          <w:sz w:val="24"/>
          <w:szCs w:val="24"/>
          <w:u w:val="single"/>
        </w:rPr>
      </w:pPr>
    </w:p>
    <w:p w:rsidR="002C5FA3" w:rsidRDefault="002C5FA3" w:rsidP="001E5084">
      <w:pPr>
        <w:tabs>
          <w:tab w:val="left" w:pos="142"/>
          <w:tab w:val="left" w:pos="567"/>
          <w:tab w:val="left" w:pos="709"/>
        </w:tabs>
        <w:jc w:val="center"/>
        <w:rPr>
          <w:rFonts w:ascii="Times New Roman" w:hAnsi="Times New Roman" w:cs="Times New Roman"/>
          <w:b/>
          <w:sz w:val="24"/>
          <w:szCs w:val="24"/>
          <w:u w:val="single"/>
        </w:rPr>
      </w:pPr>
    </w:p>
    <w:p w:rsidR="005639CD" w:rsidRDefault="005639CD" w:rsidP="001E5084">
      <w:pPr>
        <w:tabs>
          <w:tab w:val="left" w:pos="142"/>
          <w:tab w:val="left" w:pos="567"/>
          <w:tab w:val="left" w:pos="709"/>
        </w:tabs>
        <w:jc w:val="center"/>
        <w:rPr>
          <w:rFonts w:ascii="Times New Roman" w:hAnsi="Times New Roman" w:cs="Times New Roman"/>
          <w:b/>
          <w:sz w:val="24"/>
          <w:szCs w:val="24"/>
          <w:u w:val="single"/>
        </w:rPr>
      </w:pPr>
    </w:p>
    <w:p w:rsidR="005639CD" w:rsidRDefault="005639CD" w:rsidP="001E5084">
      <w:pPr>
        <w:tabs>
          <w:tab w:val="left" w:pos="142"/>
          <w:tab w:val="left" w:pos="567"/>
          <w:tab w:val="left" w:pos="709"/>
        </w:tabs>
        <w:jc w:val="center"/>
        <w:rPr>
          <w:rFonts w:ascii="Times New Roman" w:hAnsi="Times New Roman" w:cs="Times New Roman"/>
          <w:b/>
          <w:sz w:val="24"/>
          <w:szCs w:val="24"/>
          <w:u w:val="single"/>
        </w:rPr>
      </w:pPr>
    </w:p>
    <w:p w:rsidR="005639CD" w:rsidRDefault="005639CD" w:rsidP="001E5084">
      <w:pPr>
        <w:tabs>
          <w:tab w:val="left" w:pos="142"/>
          <w:tab w:val="left" w:pos="567"/>
          <w:tab w:val="left" w:pos="709"/>
        </w:tabs>
        <w:jc w:val="center"/>
        <w:rPr>
          <w:rFonts w:ascii="Times New Roman" w:hAnsi="Times New Roman" w:cs="Times New Roman"/>
          <w:b/>
          <w:sz w:val="24"/>
          <w:szCs w:val="24"/>
          <w:u w:val="single"/>
        </w:rPr>
      </w:pPr>
    </w:p>
    <w:p w:rsidR="005639CD" w:rsidRDefault="005639CD" w:rsidP="001E5084">
      <w:pPr>
        <w:tabs>
          <w:tab w:val="left" w:pos="142"/>
          <w:tab w:val="left" w:pos="567"/>
          <w:tab w:val="left" w:pos="709"/>
        </w:tabs>
        <w:jc w:val="center"/>
        <w:rPr>
          <w:rFonts w:ascii="Times New Roman" w:hAnsi="Times New Roman" w:cs="Times New Roman"/>
          <w:b/>
          <w:sz w:val="24"/>
          <w:szCs w:val="24"/>
          <w:u w:val="single"/>
        </w:rPr>
      </w:pPr>
    </w:p>
    <w:p w:rsidR="005639CD" w:rsidRPr="0034540D" w:rsidRDefault="005639CD" w:rsidP="001E5084">
      <w:pPr>
        <w:tabs>
          <w:tab w:val="left" w:pos="142"/>
          <w:tab w:val="left" w:pos="567"/>
          <w:tab w:val="left" w:pos="709"/>
        </w:tabs>
        <w:jc w:val="center"/>
        <w:rPr>
          <w:rFonts w:ascii="Times New Roman" w:hAnsi="Times New Roman" w:cs="Times New Roman"/>
          <w:b/>
          <w:sz w:val="24"/>
          <w:szCs w:val="24"/>
          <w:u w:val="single"/>
        </w:rPr>
      </w:pPr>
    </w:p>
    <w:p w:rsidR="00CB5B4A" w:rsidRPr="0034540D" w:rsidRDefault="00CB5B4A" w:rsidP="001E5084">
      <w:pPr>
        <w:tabs>
          <w:tab w:val="left" w:pos="142"/>
          <w:tab w:val="left" w:pos="567"/>
          <w:tab w:val="left" w:pos="709"/>
        </w:tabs>
        <w:jc w:val="center"/>
        <w:rPr>
          <w:rFonts w:ascii="Times New Roman" w:hAnsi="Times New Roman" w:cs="Times New Roman"/>
          <w:b/>
          <w:sz w:val="24"/>
          <w:szCs w:val="24"/>
          <w:u w:val="single"/>
        </w:rPr>
      </w:pPr>
      <w:r w:rsidRPr="0034540D">
        <w:rPr>
          <w:rFonts w:ascii="Times New Roman" w:hAnsi="Times New Roman" w:cs="Times New Roman"/>
          <w:b/>
          <w:sz w:val="24"/>
          <w:szCs w:val="24"/>
          <w:u w:val="single"/>
        </w:rPr>
        <w:lastRenderedPageBreak/>
        <w:t>TITRE XIV</w:t>
      </w:r>
    </w:p>
    <w:p w:rsidR="00CB5B4A" w:rsidRPr="0034540D" w:rsidRDefault="00CB5B4A" w:rsidP="001E5084">
      <w:pPr>
        <w:tabs>
          <w:tab w:val="left" w:pos="142"/>
          <w:tab w:val="left" w:pos="567"/>
          <w:tab w:val="left" w:pos="709"/>
        </w:tabs>
        <w:rPr>
          <w:rFonts w:ascii="Times New Roman" w:hAnsi="Times New Roman" w:cs="Times New Roman"/>
          <w:b/>
          <w:sz w:val="24"/>
          <w:szCs w:val="24"/>
          <w:u w:val="single"/>
        </w:rPr>
      </w:pPr>
      <w:r w:rsidRPr="0034540D">
        <w:rPr>
          <w:rFonts w:ascii="Times New Roman" w:hAnsi="Times New Roman" w:cs="Times New Roman"/>
          <w:b/>
          <w:sz w:val="24"/>
          <w:szCs w:val="24"/>
          <w:u w:val="single"/>
        </w:rPr>
        <w:t>DISPOSITIONS SPECIALES RELATIVES AUX INFRACTIONS A LA LEGISLATION  FINANCIERE</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u w:val="single"/>
        </w:rPr>
        <w:t>Article 426 :</w:t>
      </w:r>
      <w:r w:rsidRPr="0034540D">
        <w:rPr>
          <w:rFonts w:ascii="Times New Roman" w:hAnsi="Times New Roman" w:cs="Times New Roman"/>
          <w:b/>
          <w:sz w:val="24"/>
          <w:szCs w:val="24"/>
        </w:rPr>
        <w:t xml:space="preserve"> Est considéré  comme infraction à la législation  des changes toute violation des dispositions relatives aux relations financières avec l’étranger</w:t>
      </w:r>
      <w:r w:rsidRPr="0034540D">
        <w:rPr>
          <w:rStyle w:val="Appelnotedebasdep"/>
          <w:rFonts w:ascii="Times New Roman" w:hAnsi="Times New Roman" w:cs="Times New Roman"/>
          <w:b/>
          <w:sz w:val="24"/>
          <w:szCs w:val="24"/>
        </w:rPr>
        <w:footnoteReference w:id="1"/>
      </w:r>
      <w:r w:rsidRPr="0034540D">
        <w:rPr>
          <w:rFonts w:ascii="Times New Roman" w:hAnsi="Times New Roman" w:cs="Times New Roman"/>
          <w:b/>
          <w:sz w:val="24"/>
          <w:szCs w:val="24"/>
        </w:rPr>
        <w:t xml:space="preserve"> telles que prévues par l’UEMOA, notamment celles concernant les obligations de déclaration ou de rapatriement, ainsi que le non-respect des procédures  prescrites et les formalités ou justificatifs exigés. </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En vertu  des dispositions  légales relatives aux relations financières avec l’étranger, les infractions réprimées sont, sauf dispositions contraires, constatées, poursuivies, jugées et les peines infligées exécutées selon les règles  applicables aux infractions à la réglementation  douanière telles que définies par le code des douanes.</w:t>
      </w:r>
    </w:p>
    <w:p w:rsidR="00DA2AE2" w:rsidRPr="0034540D" w:rsidRDefault="00DA2AE2" w:rsidP="001E5084">
      <w:pPr>
        <w:pStyle w:val="Paragraphedeliste"/>
        <w:shd w:val="clear" w:color="auto" w:fill="FFFFFF"/>
        <w:tabs>
          <w:tab w:val="left" w:pos="142"/>
          <w:tab w:val="left" w:pos="567"/>
          <w:tab w:val="left" w:pos="709"/>
        </w:tabs>
        <w:spacing w:after="450" w:line="360" w:lineRule="auto"/>
        <w:ind w:left="1080"/>
        <w:jc w:val="both"/>
        <w:rPr>
          <w:rFonts w:ascii="Times New Roman" w:hAnsi="Times New Roman" w:cs="Times New Roman"/>
          <w:b/>
          <w:sz w:val="24"/>
          <w:szCs w:val="24"/>
        </w:rPr>
      </w:pPr>
      <w:r w:rsidRPr="0034540D">
        <w:rPr>
          <w:rFonts w:ascii="Times New Roman" w:hAnsi="Times New Roman" w:cs="Times New Roman"/>
          <w:sz w:val="24"/>
          <w:szCs w:val="24"/>
        </w:rPr>
        <w:t xml:space="preserve">Note : on entend par </w:t>
      </w:r>
      <w:r w:rsidRPr="0034540D">
        <w:rPr>
          <w:rFonts w:ascii="Times New Roman" w:hAnsi="Times New Roman" w:cs="Times New Roman"/>
          <w:b/>
          <w:sz w:val="24"/>
          <w:szCs w:val="24"/>
        </w:rPr>
        <w:t xml:space="preserve">« change », </w:t>
      </w:r>
      <w:r w:rsidRPr="0034540D">
        <w:rPr>
          <w:rFonts w:ascii="Times New Roman" w:hAnsi="Times New Roman" w:cs="Times New Roman"/>
          <w:sz w:val="24"/>
          <w:szCs w:val="24"/>
        </w:rPr>
        <w:t>l’échange  d’une monnaie contre une autre.  Elle désigne également  le bénéfice  réalisé sur la différence  des cours entre les deux monnaies</w:t>
      </w:r>
      <w:r w:rsidRPr="0034540D">
        <w:rPr>
          <w:rStyle w:val="Appelnotedebasdep"/>
          <w:rFonts w:ascii="Times New Roman" w:hAnsi="Times New Roman" w:cs="Times New Roman"/>
          <w:sz w:val="24"/>
          <w:szCs w:val="24"/>
        </w:rPr>
        <w:footnoteReference w:id="2"/>
      </w:r>
      <w:r w:rsidRPr="0034540D">
        <w:rPr>
          <w:rFonts w:ascii="Times New Roman" w:hAnsi="Times New Roman" w:cs="Times New Roman"/>
          <w:sz w:val="24"/>
          <w:szCs w:val="24"/>
        </w:rPr>
        <w:t>.</w:t>
      </w:r>
      <w:r w:rsidRPr="0034540D">
        <w:rPr>
          <w:rFonts w:ascii="Times New Roman" w:hAnsi="Times New Roman" w:cs="Times New Roman"/>
          <w:b/>
          <w:sz w:val="24"/>
          <w:szCs w:val="24"/>
        </w:rPr>
        <w:t xml:space="preserve"> </w:t>
      </w:r>
    </w:p>
    <w:p w:rsidR="00DA2AE2" w:rsidRPr="0034540D" w:rsidRDefault="00DA2AE2" w:rsidP="001E5084">
      <w:pPr>
        <w:pStyle w:val="Paragraphedeliste"/>
        <w:shd w:val="clear" w:color="auto" w:fill="FFFFFF"/>
        <w:tabs>
          <w:tab w:val="left" w:pos="142"/>
          <w:tab w:val="left" w:pos="567"/>
          <w:tab w:val="left" w:pos="709"/>
        </w:tabs>
        <w:spacing w:after="450" w:line="360" w:lineRule="auto"/>
        <w:ind w:left="1080"/>
        <w:jc w:val="both"/>
        <w:rPr>
          <w:rFonts w:ascii="Times New Roman" w:hAnsi="Times New Roman" w:cs="Times New Roman"/>
          <w:sz w:val="24"/>
          <w:szCs w:val="24"/>
        </w:rPr>
      </w:pPr>
      <w:r w:rsidRPr="0034540D">
        <w:rPr>
          <w:rFonts w:ascii="Times New Roman" w:eastAsia="Times New Roman" w:hAnsi="Times New Roman" w:cs="Times New Roman"/>
          <w:color w:val="333333"/>
          <w:sz w:val="24"/>
          <w:szCs w:val="24"/>
          <w:lang w:eastAsia="fr-FR"/>
        </w:rPr>
        <w:t xml:space="preserve"> </w:t>
      </w:r>
      <w:r w:rsidRPr="0034540D">
        <w:rPr>
          <w:rFonts w:ascii="Times New Roman" w:hAnsi="Times New Roman" w:cs="Times New Roman"/>
          <w:sz w:val="24"/>
          <w:szCs w:val="24"/>
        </w:rPr>
        <w:t>Au Sénégal, la  réglementation  des changes est régit par les dispositions  communautaires  dont les principaux textes sont le</w:t>
      </w:r>
      <w:r w:rsidRPr="0034540D">
        <w:rPr>
          <w:rFonts w:ascii="Times New Roman" w:hAnsi="Times New Roman" w:cs="Times New Roman"/>
          <w:b/>
          <w:sz w:val="24"/>
          <w:szCs w:val="24"/>
        </w:rPr>
        <w:t xml:space="preserve"> </w:t>
      </w:r>
      <w:r w:rsidRPr="0034540D">
        <w:rPr>
          <w:rFonts w:ascii="Times New Roman" w:hAnsi="Times New Roman" w:cs="Times New Roman"/>
          <w:sz w:val="24"/>
          <w:szCs w:val="24"/>
        </w:rPr>
        <w:t>Règlement n° 09/2010/CM/UEMOA du 1er octobre 2010 relatif aux relations financières extérieures des Etats membres de l’Union Economique et Monétaire Ouest Africaine (</w:t>
      </w:r>
      <w:r w:rsidRPr="0034540D">
        <w:rPr>
          <w:rFonts w:ascii="Times New Roman" w:hAnsi="Times New Roman" w:cs="Times New Roman"/>
          <w:b/>
          <w:sz w:val="24"/>
          <w:szCs w:val="24"/>
        </w:rPr>
        <w:t>UEMOA)</w:t>
      </w:r>
      <w:r w:rsidRPr="0034540D">
        <w:rPr>
          <w:rStyle w:val="Appelnotedebasdep"/>
          <w:rFonts w:ascii="Times New Roman" w:hAnsi="Times New Roman" w:cs="Times New Roman"/>
          <w:b/>
          <w:sz w:val="24"/>
          <w:szCs w:val="24"/>
        </w:rPr>
        <w:footnoteReference w:id="3"/>
      </w:r>
      <w:r w:rsidRPr="0034540D">
        <w:rPr>
          <w:rFonts w:ascii="Times New Roman" w:hAnsi="Times New Roman" w:cs="Times New Roman"/>
          <w:b/>
          <w:sz w:val="24"/>
          <w:szCs w:val="24"/>
        </w:rPr>
        <w:t xml:space="preserve">, </w:t>
      </w:r>
      <w:r w:rsidRPr="0034540D">
        <w:rPr>
          <w:rFonts w:ascii="Times New Roman" w:hAnsi="Times New Roman" w:cs="Times New Roman"/>
          <w:sz w:val="24"/>
          <w:szCs w:val="24"/>
        </w:rPr>
        <w:t>les textes d’application de ce  règlement en l’occurrence</w:t>
      </w:r>
      <w:r w:rsidR="007B1C25"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 les douze (12) instructions</w:t>
      </w:r>
      <w:r w:rsidRPr="0034540D">
        <w:rPr>
          <w:rStyle w:val="Appelnotedebasdep"/>
          <w:rFonts w:ascii="Times New Roman" w:hAnsi="Times New Roman" w:cs="Times New Roman"/>
          <w:sz w:val="24"/>
          <w:szCs w:val="24"/>
        </w:rPr>
        <w:footnoteReference w:id="4"/>
      </w:r>
      <w:r w:rsidRPr="0034540D">
        <w:rPr>
          <w:rFonts w:ascii="Times New Roman" w:hAnsi="Times New Roman" w:cs="Times New Roman"/>
          <w:sz w:val="24"/>
          <w:szCs w:val="24"/>
        </w:rPr>
        <w:t xml:space="preserve"> et  un (1) avis</w:t>
      </w:r>
      <w:r w:rsidRPr="0034540D">
        <w:rPr>
          <w:rStyle w:val="Appelnotedebasdep"/>
          <w:rFonts w:ascii="Times New Roman" w:hAnsi="Times New Roman" w:cs="Times New Roman"/>
          <w:sz w:val="24"/>
          <w:szCs w:val="24"/>
        </w:rPr>
        <w:footnoteReference w:id="5"/>
      </w:r>
      <w:r w:rsidRPr="0034540D">
        <w:rPr>
          <w:rFonts w:ascii="Times New Roman" w:hAnsi="Times New Roman" w:cs="Times New Roman"/>
          <w:sz w:val="24"/>
          <w:szCs w:val="24"/>
        </w:rPr>
        <w:t xml:space="preserve">  de la BCEAO, la </w:t>
      </w:r>
      <w:r w:rsidRPr="0034540D">
        <w:rPr>
          <w:rFonts w:ascii="Times New Roman" w:hAnsi="Times New Roman" w:cs="Times New Roman"/>
          <w:sz w:val="24"/>
          <w:szCs w:val="24"/>
        </w:rPr>
        <w:lastRenderedPageBreak/>
        <w:t>loi uniforme sur le contentieux  des infractions à la réglementation des relations financières extérieures des Etats membres de l’UEMOA et ses deux (2) décrets d’application</w:t>
      </w:r>
      <w:r w:rsidRPr="0034540D">
        <w:rPr>
          <w:rStyle w:val="Appelnotedebasdep"/>
          <w:rFonts w:ascii="Times New Roman" w:hAnsi="Times New Roman" w:cs="Times New Roman"/>
          <w:sz w:val="24"/>
          <w:szCs w:val="24"/>
        </w:rPr>
        <w:footnoteReference w:id="6"/>
      </w:r>
      <w:r w:rsidRPr="0034540D">
        <w:rPr>
          <w:rFonts w:ascii="Times New Roman" w:hAnsi="Times New Roman" w:cs="Times New Roman"/>
          <w:sz w:val="24"/>
          <w:szCs w:val="24"/>
        </w:rPr>
        <w:t>.</w:t>
      </w:r>
    </w:p>
    <w:p w:rsidR="00DA2AE2" w:rsidRPr="0034540D" w:rsidRDefault="00DA2AE2" w:rsidP="001E5084">
      <w:pPr>
        <w:pStyle w:val="Paragraphedeliste"/>
        <w:shd w:val="clear" w:color="auto" w:fill="FFFFFF"/>
        <w:tabs>
          <w:tab w:val="left" w:pos="142"/>
          <w:tab w:val="left" w:pos="567"/>
          <w:tab w:val="left" w:pos="709"/>
        </w:tabs>
        <w:spacing w:after="450" w:line="360" w:lineRule="auto"/>
        <w:ind w:left="1080"/>
        <w:jc w:val="both"/>
        <w:rPr>
          <w:rFonts w:ascii="Times New Roman" w:hAnsi="Times New Roman" w:cs="Times New Roman"/>
          <w:sz w:val="24"/>
          <w:szCs w:val="24"/>
        </w:rPr>
      </w:pPr>
      <w:r w:rsidRPr="0034540D">
        <w:rPr>
          <w:rFonts w:ascii="Times New Roman" w:hAnsi="Times New Roman" w:cs="Times New Roman"/>
          <w:sz w:val="24"/>
          <w:szCs w:val="24"/>
        </w:rPr>
        <w:t>Pour définir les différentes violations constitutives d’infractions à la législation  des changes  et y apporter des sanctions,  l’article 426 du code des douanes dispose qu’ « est considéré comme infraction à la législation des changes</w:t>
      </w:r>
      <w:r w:rsidRPr="0034540D">
        <w:rPr>
          <w:rFonts w:ascii="Times New Roman" w:hAnsi="Times New Roman" w:cs="Times New Roman"/>
          <w:b/>
          <w:sz w:val="24"/>
          <w:szCs w:val="24"/>
        </w:rPr>
        <w:t xml:space="preserve"> </w:t>
      </w:r>
      <w:r w:rsidRPr="0034540D">
        <w:rPr>
          <w:rFonts w:ascii="Times New Roman" w:hAnsi="Times New Roman" w:cs="Times New Roman"/>
          <w:sz w:val="24"/>
          <w:szCs w:val="24"/>
        </w:rPr>
        <w:t>toute violation des dispositions relatives aux relations financières avec l’étranger telles que prévues par l’UEMOA, notamment celles concernant les obligations de déclaration ou de rapatriement, ainsi que le non-respect des procédures  prescrites et les formalités ou justificatifs exigés</w:t>
      </w:r>
      <w:r w:rsidR="0064129C" w:rsidRPr="0034540D">
        <w:rPr>
          <w:rFonts w:ascii="Times New Roman" w:hAnsi="Times New Roman" w:cs="Times New Roman"/>
          <w:sz w:val="24"/>
          <w:szCs w:val="24"/>
        </w:rPr>
        <w:t>….</w:t>
      </w:r>
      <w:r w:rsidRPr="0034540D">
        <w:rPr>
          <w:rFonts w:ascii="Times New Roman" w:hAnsi="Times New Roman" w:cs="Times New Roman"/>
          <w:sz w:val="24"/>
          <w:szCs w:val="24"/>
        </w:rPr>
        <w:t xml:space="preserve"> ».  </w:t>
      </w:r>
    </w:p>
    <w:p w:rsidR="00DA2AE2" w:rsidRPr="0034540D" w:rsidRDefault="00DA2AE2" w:rsidP="001E5084">
      <w:pPr>
        <w:pStyle w:val="Paragraphedeliste"/>
        <w:shd w:val="clear" w:color="auto" w:fill="FFFFFF"/>
        <w:tabs>
          <w:tab w:val="left" w:pos="142"/>
          <w:tab w:val="left" w:pos="567"/>
          <w:tab w:val="left" w:pos="709"/>
        </w:tabs>
        <w:spacing w:after="450" w:line="360" w:lineRule="auto"/>
        <w:ind w:left="1080"/>
        <w:jc w:val="both"/>
        <w:rPr>
          <w:rFonts w:ascii="Times New Roman" w:hAnsi="Times New Roman" w:cs="Times New Roman"/>
          <w:sz w:val="24"/>
          <w:szCs w:val="24"/>
        </w:rPr>
      </w:pPr>
      <w:r w:rsidRPr="0034540D">
        <w:rPr>
          <w:rFonts w:ascii="Times New Roman" w:hAnsi="Times New Roman" w:cs="Times New Roman"/>
          <w:sz w:val="24"/>
          <w:szCs w:val="24"/>
        </w:rPr>
        <w:t xml:space="preserve">Au sens de la loi n°2014-12 du 28 février 2014 </w:t>
      </w:r>
      <w:r w:rsidRPr="0034540D">
        <w:rPr>
          <w:rFonts w:ascii="Times New Roman" w:hAnsi="Times New Roman" w:cs="Times New Roman"/>
          <w:bCs/>
          <w:sz w:val="24"/>
          <w:szCs w:val="24"/>
        </w:rPr>
        <w:t>sur le contentieux des infractions à la réglementation des relations financières  extérieures  des Etats membres de l’Union Economique et Monétaire  Ouest Africaine (UEMOA), transposant dans le droit positif sénégalais l’annexe N°1</w:t>
      </w:r>
      <w:r w:rsidR="0064129C" w:rsidRPr="0034540D">
        <w:rPr>
          <w:rFonts w:ascii="Times New Roman" w:hAnsi="Times New Roman" w:cs="Times New Roman"/>
          <w:bCs/>
          <w:sz w:val="24"/>
          <w:szCs w:val="24"/>
        </w:rPr>
        <w:t xml:space="preserve"> de la Décision N CM/UMOA/020/12/2012 du 14 décembre 2012 portant Adoption du projet de loi uniforme sur le contentieux des infractions à la réglementation des relations financières  extérieures  des Etats membres de l’Union Economique et Monétaire  Ouest Africaine (UEMOA) </w:t>
      </w:r>
      <w:r w:rsidRPr="0034540D">
        <w:rPr>
          <w:rFonts w:ascii="Times New Roman" w:hAnsi="Times New Roman" w:cs="Times New Roman"/>
          <w:sz w:val="24"/>
          <w:szCs w:val="24"/>
        </w:rPr>
        <w:t xml:space="preserve">, </w:t>
      </w:r>
      <w:r w:rsidRPr="0034540D">
        <w:rPr>
          <w:rFonts w:ascii="Times New Roman" w:hAnsi="Times New Roman" w:cs="Times New Roman"/>
          <w:b/>
          <w:sz w:val="24"/>
          <w:szCs w:val="24"/>
        </w:rPr>
        <w:t> </w:t>
      </w:r>
      <w:r w:rsidRPr="0034540D">
        <w:rPr>
          <w:rFonts w:ascii="Times New Roman" w:hAnsi="Times New Roman" w:cs="Times New Roman"/>
          <w:sz w:val="24"/>
          <w:szCs w:val="24"/>
        </w:rPr>
        <w:t>l’infraction</w:t>
      </w:r>
      <w:r w:rsidR="0064129C" w:rsidRPr="0034540D">
        <w:rPr>
          <w:rStyle w:val="Appelnotedebasdep"/>
          <w:rFonts w:ascii="Times New Roman" w:hAnsi="Times New Roman" w:cs="Times New Roman"/>
          <w:sz w:val="24"/>
          <w:szCs w:val="24"/>
        </w:rPr>
        <w:footnoteReference w:id="7"/>
      </w:r>
      <w:r w:rsidRPr="0034540D">
        <w:rPr>
          <w:rFonts w:ascii="Times New Roman" w:hAnsi="Times New Roman" w:cs="Times New Roman"/>
          <w:sz w:val="24"/>
          <w:szCs w:val="24"/>
        </w:rPr>
        <w:t xml:space="preserve"> à la réglementation des relations financières extérieures est  définie à l’article 2 de la loi susvisée;</w:t>
      </w:r>
    </w:p>
    <w:p w:rsidR="00DA2AE2" w:rsidRPr="0034540D" w:rsidRDefault="00DA2AE2" w:rsidP="001E5084">
      <w:pPr>
        <w:pStyle w:val="Paragraphedeliste"/>
        <w:tabs>
          <w:tab w:val="left" w:pos="142"/>
          <w:tab w:val="left" w:pos="567"/>
          <w:tab w:val="left" w:pos="709"/>
        </w:tabs>
        <w:autoSpaceDE w:val="0"/>
        <w:autoSpaceDN w:val="0"/>
        <w:adjustRightInd w:val="0"/>
        <w:spacing w:after="0" w:line="360" w:lineRule="auto"/>
        <w:ind w:left="1080"/>
        <w:jc w:val="both"/>
        <w:rPr>
          <w:rFonts w:ascii="Times New Roman" w:hAnsi="Times New Roman" w:cs="Times New Roman"/>
          <w:sz w:val="24"/>
          <w:szCs w:val="24"/>
        </w:rPr>
      </w:pPr>
      <w:r w:rsidRPr="0034540D">
        <w:rPr>
          <w:rFonts w:ascii="Times New Roman" w:hAnsi="Times New Roman" w:cs="Times New Roman"/>
          <w:sz w:val="24"/>
          <w:szCs w:val="24"/>
        </w:rPr>
        <w:t>Aux termes de cet  article « Constitue une infraction à la réglementation des relations financières extérieures, toute violation des dispositions du Règlement n°09/2010/CM/UEMOA, en date du 1er octobre 2010, relatif aux relations financières extérieures des Etats membres de l’Union Economique et Monétaire Ouest Africaine (UEMOA), commise notamment dans les cas suivants :</w:t>
      </w:r>
    </w:p>
    <w:p w:rsidR="00DA2AE2" w:rsidRPr="0034540D" w:rsidRDefault="00DA2AE2" w:rsidP="001E5084">
      <w:pPr>
        <w:tabs>
          <w:tab w:val="left" w:pos="142"/>
          <w:tab w:val="left" w:pos="567"/>
          <w:tab w:val="left" w:pos="709"/>
        </w:tabs>
        <w:autoSpaceDE w:val="0"/>
        <w:autoSpaceDN w:val="0"/>
        <w:adjustRightInd w:val="0"/>
        <w:spacing w:after="0" w:line="360" w:lineRule="auto"/>
        <w:ind w:left="993"/>
        <w:jc w:val="both"/>
        <w:rPr>
          <w:rFonts w:ascii="Times New Roman" w:hAnsi="Times New Roman" w:cs="Times New Roman"/>
          <w:sz w:val="24"/>
          <w:szCs w:val="24"/>
        </w:rPr>
      </w:pPr>
      <w:r w:rsidRPr="0034540D">
        <w:rPr>
          <w:rFonts w:ascii="Times New Roman" w:hAnsi="Times New Roman" w:cs="Times New Roman"/>
          <w:sz w:val="24"/>
          <w:szCs w:val="24"/>
        </w:rPr>
        <w:t>–– l’inexécution des obligations de déclaration ;</w:t>
      </w:r>
    </w:p>
    <w:p w:rsidR="00DA2AE2" w:rsidRPr="0034540D" w:rsidRDefault="00DA2AE2" w:rsidP="001E5084">
      <w:pPr>
        <w:tabs>
          <w:tab w:val="left" w:pos="142"/>
          <w:tab w:val="left" w:pos="567"/>
          <w:tab w:val="left" w:pos="709"/>
        </w:tabs>
        <w:autoSpaceDE w:val="0"/>
        <w:autoSpaceDN w:val="0"/>
        <w:adjustRightInd w:val="0"/>
        <w:spacing w:after="0" w:line="360" w:lineRule="auto"/>
        <w:ind w:left="1134"/>
        <w:jc w:val="both"/>
        <w:rPr>
          <w:rFonts w:ascii="Times New Roman" w:hAnsi="Times New Roman" w:cs="Times New Roman"/>
          <w:sz w:val="24"/>
          <w:szCs w:val="24"/>
        </w:rPr>
      </w:pPr>
      <w:r w:rsidRPr="0034540D">
        <w:rPr>
          <w:rFonts w:ascii="Times New Roman" w:hAnsi="Times New Roman" w:cs="Times New Roman"/>
          <w:sz w:val="24"/>
          <w:szCs w:val="24"/>
        </w:rPr>
        <w:t>–– l’inobservation des procédures prescrites ou des formalités exigées ;</w:t>
      </w:r>
    </w:p>
    <w:p w:rsidR="00DA2AE2" w:rsidRPr="0034540D" w:rsidRDefault="00DA2AE2" w:rsidP="001E5084">
      <w:pPr>
        <w:tabs>
          <w:tab w:val="left" w:pos="142"/>
          <w:tab w:val="left" w:pos="567"/>
          <w:tab w:val="left" w:pos="709"/>
        </w:tabs>
        <w:autoSpaceDE w:val="0"/>
        <w:autoSpaceDN w:val="0"/>
        <w:adjustRightInd w:val="0"/>
        <w:spacing w:after="0" w:line="360" w:lineRule="auto"/>
        <w:ind w:left="1134"/>
        <w:jc w:val="both"/>
        <w:rPr>
          <w:rFonts w:ascii="Times New Roman" w:hAnsi="Times New Roman" w:cs="Times New Roman"/>
          <w:sz w:val="24"/>
          <w:szCs w:val="24"/>
        </w:rPr>
      </w:pPr>
      <w:r w:rsidRPr="0034540D">
        <w:rPr>
          <w:rFonts w:ascii="Times New Roman" w:hAnsi="Times New Roman" w:cs="Times New Roman"/>
          <w:sz w:val="24"/>
          <w:szCs w:val="24"/>
        </w:rPr>
        <w:t>–– le défaut de production des autorisations requises ;</w:t>
      </w:r>
    </w:p>
    <w:p w:rsidR="00DA2AE2" w:rsidRPr="0034540D" w:rsidRDefault="00DA2AE2" w:rsidP="001E5084">
      <w:pPr>
        <w:tabs>
          <w:tab w:val="left" w:pos="142"/>
          <w:tab w:val="left" w:pos="567"/>
          <w:tab w:val="left" w:pos="709"/>
        </w:tabs>
        <w:autoSpaceDE w:val="0"/>
        <w:autoSpaceDN w:val="0"/>
        <w:adjustRightInd w:val="0"/>
        <w:spacing w:after="0" w:line="360" w:lineRule="auto"/>
        <w:ind w:left="1134"/>
        <w:jc w:val="both"/>
        <w:rPr>
          <w:rFonts w:ascii="Times New Roman" w:hAnsi="Times New Roman" w:cs="Times New Roman"/>
          <w:sz w:val="24"/>
          <w:szCs w:val="24"/>
        </w:rPr>
      </w:pPr>
      <w:r w:rsidRPr="0034540D">
        <w:rPr>
          <w:rFonts w:ascii="Times New Roman" w:hAnsi="Times New Roman" w:cs="Times New Roman"/>
          <w:sz w:val="24"/>
          <w:szCs w:val="24"/>
        </w:rPr>
        <w:t>–– le non respect des conditions dont ces autorisations sont assorties.</w:t>
      </w:r>
    </w:p>
    <w:p w:rsidR="00DA2AE2" w:rsidRPr="0034540D" w:rsidRDefault="00DA2AE2" w:rsidP="001E5084">
      <w:pPr>
        <w:tabs>
          <w:tab w:val="left" w:pos="142"/>
          <w:tab w:val="left" w:pos="567"/>
          <w:tab w:val="left" w:pos="709"/>
        </w:tabs>
        <w:autoSpaceDE w:val="0"/>
        <w:autoSpaceDN w:val="0"/>
        <w:adjustRightInd w:val="0"/>
        <w:spacing w:after="0" w:line="360" w:lineRule="auto"/>
        <w:ind w:left="1134"/>
        <w:jc w:val="both"/>
        <w:rPr>
          <w:rFonts w:ascii="Times New Roman" w:hAnsi="Times New Roman" w:cs="Times New Roman"/>
          <w:sz w:val="24"/>
          <w:szCs w:val="24"/>
        </w:rPr>
      </w:pPr>
      <w:r w:rsidRPr="0034540D">
        <w:rPr>
          <w:rFonts w:ascii="Times New Roman" w:hAnsi="Times New Roman" w:cs="Times New Roman"/>
          <w:sz w:val="24"/>
          <w:szCs w:val="24"/>
        </w:rPr>
        <w:lastRenderedPageBreak/>
        <w:t>Constituent également une infraction à la réglementation des relations financières extérieures, l’entente ou la participation à une association en vue de commettre un acte constitutif de l’infraction définie à l’alinéa premier, l’association pour commettre ledit acte, la tentative de le perpétrer, la complicité, l’incitation ou le conseil apporté à une personne physique ou morale, en vue de commettre ledit acte ou d’en faciliter la commission ».</w:t>
      </w:r>
    </w:p>
    <w:p w:rsidR="00DA2AE2" w:rsidRPr="0034540D" w:rsidRDefault="00DA2AE2" w:rsidP="001E5084">
      <w:pPr>
        <w:pBdr>
          <w:bottom w:val="single" w:sz="6" w:space="1" w:color="auto"/>
        </w:pBdr>
        <w:tabs>
          <w:tab w:val="left" w:pos="142"/>
          <w:tab w:val="left" w:pos="567"/>
          <w:tab w:val="left" w:pos="709"/>
        </w:tabs>
        <w:autoSpaceDE w:val="0"/>
        <w:autoSpaceDN w:val="0"/>
        <w:adjustRightInd w:val="0"/>
        <w:spacing w:after="0" w:line="360" w:lineRule="auto"/>
        <w:ind w:left="1134"/>
        <w:jc w:val="both"/>
        <w:rPr>
          <w:rFonts w:ascii="Times New Roman" w:hAnsi="Times New Roman" w:cs="Times New Roman"/>
          <w:sz w:val="24"/>
          <w:szCs w:val="24"/>
        </w:rPr>
      </w:pPr>
      <w:r w:rsidRPr="0034540D">
        <w:rPr>
          <w:rFonts w:ascii="Times New Roman" w:hAnsi="Times New Roman" w:cs="Times New Roman"/>
          <w:sz w:val="24"/>
          <w:szCs w:val="24"/>
        </w:rPr>
        <w:t>Il se déduit de la lecture combinée de  ce qui précède  que l’infraction à la législation  des changes</w:t>
      </w:r>
      <w:r w:rsidR="008326A7" w:rsidRPr="0034540D">
        <w:rPr>
          <w:rFonts w:ascii="Times New Roman" w:hAnsi="Times New Roman" w:cs="Times New Roman"/>
          <w:sz w:val="24"/>
          <w:szCs w:val="24"/>
        </w:rPr>
        <w:t xml:space="preserve"> est constituée  entre autres par</w:t>
      </w:r>
      <w:r w:rsidRPr="0034540D">
        <w:rPr>
          <w:rFonts w:ascii="Times New Roman" w:hAnsi="Times New Roman" w:cs="Times New Roman"/>
          <w:sz w:val="24"/>
          <w:szCs w:val="24"/>
        </w:rPr>
        <w:t xml:space="preserve"> la violation des obligations de déclaration ou  rapatriement de même que le non respect des  procédures prescrites et formalités  ou justificatifs exigées prévus en la matière. </w:t>
      </w:r>
    </w:p>
    <w:p w:rsidR="0067655F" w:rsidRPr="0034540D" w:rsidRDefault="0067655F" w:rsidP="001E5084">
      <w:pPr>
        <w:shd w:val="clear" w:color="auto" w:fill="FFFFFF"/>
        <w:tabs>
          <w:tab w:val="left" w:pos="142"/>
          <w:tab w:val="left" w:pos="567"/>
          <w:tab w:val="left" w:pos="709"/>
        </w:tabs>
        <w:spacing w:after="450" w:line="360" w:lineRule="auto"/>
        <w:ind w:left="1134"/>
        <w:jc w:val="both"/>
        <w:rPr>
          <w:rFonts w:ascii="Times New Roman" w:hAnsi="Times New Roman" w:cs="Times New Roman"/>
          <w:sz w:val="24"/>
          <w:szCs w:val="24"/>
        </w:rPr>
      </w:pPr>
    </w:p>
    <w:p w:rsidR="0067655F" w:rsidRPr="0034540D" w:rsidRDefault="0067655F" w:rsidP="001E5084">
      <w:pPr>
        <w:pBdr>
          <w:bottom w:val="single" w:sz="6" w:space="1" w:color="auto"/>
        </w:pBdr>
        <w:shd w:val="clear" w:color="auto" w:fill="FFFFFF"/>
        <w:tabs>
          <w:tab w:val="left" w:pos="142"/>
          <w:tab w:val="left" w:pos="567"/>
          <w:tab w:val="left" w:pos="709"/>
        </w:tabs>
        <w:spacing w:after="450" w:line="360" w:lineRule="auto"/>
        <w:ind w:left="1134"/>
        <w:jc w:val="both"/>
        <w:rPr>
          <w:rFonts w:ascii="Times New Roman" w:hAnsi="Times New Roman" w:cs="Times New Roman"/>
          <w:b/>
          <w:sz w:val="24"/>
          <w:szCs w:val="24"/>
        </w:rPr>
      </w:pPr>
      <w:r w:rsidRPr="0034540D">
        <w:rPr>
          <w:rFonts w:ascii="Times New Roman" w:hAnsi="Times New Roman" w:cs="Times New Roman"/>
          <w:sz w:val="24"/>
          <w:szCs w:val="24"/>
        </w:rPr>
        <w:t xml:space="preserve">Note : Par </w:t>
      </w:r>
      <w:r w:rsidRPr="0034540D">
        <w:rPr>
          <w:rFonts w:ascii="Times New Roman" w:hAnsi="Times New Roman" w:cs="Times New Roman"/>
          <w:b/>
          <w:sz w:val="24"/>
          <w:szCs w:val="24"/>
        </w:rPr>
        <w:t xml:space="preserve"> « change », </w:t>
      </w:r>
      <w:r w:rsidRPr="0034540D">
        <w:rPr>
          <w:rFonts w:ascii="Times New Roman" w:hAnsi="Times New Roman" w:cs="Times New Roman"/>
          <w:sz w:val="24"/>
          <w:szCs w:val="24"/>
        </w:rPr>
        <w:t xml:space="preserve">On  entend aussi  </w:t>
      </w:r>
      <w:r w:rsidRPr="0034540D">
        <w:rPr>
          <w:rFonts w:ascii="Times New Roman" w:eastAsia="Times New Roman" w:hAnsi="Times New Roman" w:cs="Times New Roman"/>
          <w:color w:val="333333"/>
          <w:sz w:val="24"/>
          <w:szCs w:val="24"/>
          <w:lang w:eastAsia="fr-FR"/>
        </w:rPr>
        <w:t>l’action ou l’opération de conversion d’une monnaie nationale en une autre monnaie nationale appelée « devise ». En effet, à l’exception de quelques zones monétaires disposant d’une monnaie commune (cas de l’euro et du franc CFA), chaque État souverain dispose de sa propre monnaie, symbole de sa souveraineté étatique.  Dés lors, les échanges économiques  ne pouvant se faire par le biais d’une seule et même monnaie, les monnaies nationales étaient donc destinées à s’échanger les unes contre les autres.  L’ampleur de ces échanges impliquant ainsi des opérations de changes  entre différents états  a rendu nécessaire  pour chaque état de disposer d’une  réglementation des changes. Pour Constance Gwen , la réglementation des changes est </w:t>
      </w:r>
      <w:r w:rsidRPr="0034540D">
        <w:rPr>
          <w:rFonts w:ascii="Times New Roman" w:eastAsia="Times New Roman" w:hAnsi="Times New Roman" w:cs="Times New Roman"/>
          <w:b/>
          <w:bCs/>
          <w:color w:val="333333"/>
          <w:sz w:val="24"/>
          <w:szCs w:val="24"/>
          <w:lang w:eastAsia="fr-FR"/>
        </w:rPr>
        <w:t>« un ensemble de mesures qui ont pour objectif de définir les conditions dans lesquelles les monnaies nationales peuvent être échangées contre des devises étrangères et ce, dans le but de protéger et de conserver la valeur des monnaies nationales </w:t>
      </w:r>
      <w:r w:rsidRPr="0034540D">
        <w:rPr>
          <w:rFonts w:ascii="Times New Roman" w:eastAsia="Times New Roman" w:hAnsi="Times New Roman" w:cs="Times New Roman"/>
          <w:color w:val="333333"/>
          <w:sz w:val="24"/>
          <w:szCs w:val="24"/>
          <w:lang w:eastAsia="fr-FR"/>
        </w:rPr>
        <w:t>»</w:t>
      </w:r>
      <w:r w:rsidRPr="0034540D">
        <w:rPr>
          <w:rStyle w:val="Appelnotedebasdep"/>
          <w:rFonts w:ascii="Times New Roman" w:eastAsia="Times New Roman" w:hAnsi="Times New Roman" w:cs="Times New Roman"/>
          <w:color w:val="333333"/>
          <w:sz w:val="24"/>
          <w:szCs w:val="24"/>
          <w:lang w:eastAsia="fr-FR"/>
        </w:rPr>
        <w:footnoteReference w:id="8"/>
      </w:r>
      <w:r w:rsidRPr="0034540D">
        <w:rPr>
          <w:rFonts w:ascii="Times New Roman" w:eastAsia="Times New Roman" w:hAnsi="Times New Roman" w:cs="Times New Roman"/>
          <w:color w:val="333333"/>
          <w:sz w:val="24"/>
          <w:szCs w:val="24"/>
          <w:lang w:eastAsia="fr-FR"/>
        </w:rPr>
        <w:t xml:space="preserve"> .La réglementation des changes se voit ainsi conférer un but spécifique qu’est celui d’assurer la protection et la conservation de la valeur de la monnaie nationale.</w:t>
      </w:r>
      <w:r w:rsidRPr="0034540D">
        <w:rPr>
          <w:rFonts w:ascii="Times New Roman" w:hAnsi="Times New Roman" w:cs="Times New Roman"/>
          <w:b/>
          <w:sz w:val="24"/>
          <w:szCs w:val="24"/>
        </w:rPr>
        <w:t xml:space="preserve"> </w:t>
      </w:r>
    </w:p>
    <w:p w:rsidR="00DA2AE2" w:rsidRPr="0034540D" w:rsidRDefault="008326A7" w:rsidP="001E5084">
      <w:pPr>
        <w:pStyle w:val="Paragraphedeliste"/>
        <w:shd w:val="clear" w:color="auto" w:fill="FFFFFF"/>
        <w:tabs>
          <w:tab w:val="left" w:pos="142"/>
          <w:tab w:val="left" w:pos="567"/>
          <w:tab w:val="left" w:pos="709"/>
        </w:tabs>
        <w:spacing w:after="450" w:line="360" w:lineRule="auto"/>
        <w:ind w:left="0"/>
        <w:jc w:val="both"/>
        <w:rPr>
          <w:rFonts w:ascii="Times New Roman" w:hAnsi="Times New Roman" w:cs="Times New Roman"/>
          <w:b/>
          <w:sz w:val="24"/>
          <w:szCs w:val="24"/>
        </w:rPr>
      </w:pPr>
      <w:r w:rsidRPr="0034540D">
        <w:rPr>
          <w:rFonts w:ascii="Times New Roman" w:hAnsi="Times New Roman" w:cs="Times New Roman"/>
          <w:b/>
          <w:sz w:val="24"/>
          <w:szCs w:val="24"/>
        </w:rPr>
        <w:lastRenderedPageBreak/>
        <w:t xml:space="preserve">Première Partie : </w:t>
      </w:r>
      <w:r w:rsidR="008F3409" w:rsidRPr="0034540D">
        <w:rPr>
          <w:rFonts w:ascii="Times New Roman" w:hAnsi="Times New Roman" w:cs="Times New Roman"/>
          <w:b/>
          <w:sz w:val="24"/>
          <w:szCs w:val="24"/>
        </w:rPr>
        <w:t xml:space="preserve">Les </w:t>
      </w:r>
      <w:r w:rsidR="00DA2AE2" w:rsidRPr="0034540D">
        <w:rPr>
          <w:rFonts w:ascii="Times New Roman" w:hAnsi="Times New Roman" w:cs="Times New Roman"/>
          <w:b/>
          <w:sz w:val="24"/>
          <w:szCs w:val="24"/>
        </w:rPr>
        <w:t xml:space="preserve"> infractions à la législation  des changes</w:t>
      </w:r>
      <w:r w:rsidR="008F3409" w:rsidRPr="0034540D">
        <w:rPr>
          <w:rFonts w:ascii="Times New Roman" w:hAnsi="Times New Roman" w:cs="Times New Roman"/>
          <w:b/>
          <w:sz w:val="24"/>
          <w:szCs w:val="24"/>
        </w:rPr>
        <w:t xml:space="preserve"> </w:t>
      </w:r>
      <w:r w:rsidRPr="0034540D">
        <w:rPr>
          <w:rFonts w:ascii="Times New Roman" w:hAnsi="Times New Roman" w:cs="Times New Roman"/>
          <w:b/>
          <w:sz w:val="24"/>
          <w:szCs w:val="24"/>
        </w:rPr>
        <w:t xml:space="preserve">commises au Sénégal </w:t>
      </w:r>
    </w:p>
    <w:p w:rsidR="00F408B8" w:rsidRPr="0034540D" w:rsidRDefault="00F408B8" w:rsidP="001E5084">
      <w:pPr>
        <w:pStyle w:val="Paragraphedeliste"/>
        <w:shd w:val="clear" w:color="auto" w:fill="FFFFFF"/>
        <w:tabs>
          <w:tab w:val="left" w:pos="142"/>
          <w:tab w:val="left" w:pos="567"/>
          <w:tab w:val="left" w:pos="709"/>
        </w:tabs>
        <w:spacing w:after="450" w:line="360" w:lineRule="auto"/>
        <w:ind w:left="0"/>
        <w:jc w:val="both"/>
        <w:rPr>
          <w:rFonts w:ascii="Times New Roman" w:hAnsi="Times New Roman" w:cs="Times New Roman"/>
          <w:b/>
          <w:sz w:val="24"/>
          <w:szCs w:val="24"/>
        </w:rPr>
      </w:pPr>
      <w:r w:rsidRPr="0034540D">
        <w:rPr>
          <w:rFonts w:ascii="Times New Roman" w:hAnsi="Times New Roman" w:cs="Times New Roman"/>
          <w:b/>
          <w:sz w:val="24"/>
          <w:szCs w:val="24"/>
        </w:rPr>
        <w:t>Chapitre I : Etude des infractions listées à l’article 426 du code des douanes</w:t>
      </w:r>
    </w:p>
    <w:p w:rsidR="008F3409" w:rsidRPr="0034540D" w:rsidRDefault="008F3409" w:rsidP="001E5084">
      <w:pPr>
        <w:pStyle w:val="Paragraphedeliste"/>
        <w:shd w:val="clear" w:color="auto" w:fill="FFFFFF"/>
        <w:tabs>
          <w:tab w:val="left" w:pos="142"/>
          <w:tab w:val="left" w:pos="567"/>
          <w:tab w:val="left" w:pos="709"/>
        </w:tabs>
        <w:spacing w:after="450" w:line="360" w:lineRule="auto"/>
        <w:ind w:left="0"/>
        <w:jc w:val="both"/>
        <w:rPr>
          <w:rFonts w:ascii="Times New Roman" w:hAnsi="Times New Roman" w:cs="Times New Roman"/>
          <w:sz w:val="24"/>
          <w:szCs w:val="24"/>
        </w:rPr>
      </w:pPr>
      <w:r w:rsidRPr="0034540D">
        <w:rPr>
          <w:rFonts w:ascii="Times New Roman" w:hAnsi="Times New Roman" w:cs="Times New Roman"/>
          <w:sz w:val="24"/>
          <w:szCs w:val="24"/>
        </w:rPr>
        <w:t xml:space="preserve">Il importe de préciser que la liste des infractions  à la législation des changes  citées à l’alinéa 1 de cet article </w:t>
      </w:r>
      <w:r w:rsidR="008326A7" w:rsidRPr="0034540D">
        <w:rPr>
          <w:rFonts w:ascii="Times New Roman" w:hAnsi="Times New Roman" w:cs="Times New Roman"/>
          <w:sz w:val="24"/>
          <w:szCs w:val="24"/>
        </w:rPr>
        <w:t>426 du code des douanes</w:t>
      </w:r>
      <w:r w:rsidRPr="0034540D">
        <w:rPr>
          <w:rFonts w:ascii="Times New Roman" w:hAnsi="Times New Roman" w:cs="Times New Roman"/>
          <w:sz w:val="24"/>
          <w:szCs w:val="24"/>
        </w:rPr>
        <w:t xml:space="preserve"> n’est</w:t>
      </w:r>
      <w:r w:rsidR="008326A7" w:rsidRPr="0034540D">
        <w:rPr>
          <w:rFonts w:ascii="Times New Roman" w:hAnsi="Times New Roman" w:cs="Times New Roman"/>
          <w:sz w:val="24"/>
          <w:szCs w:val="24"/>
        </w:rPr>
        <w:t xml:space="preserve"> pas</w:t>
      </w:r>
      <w:r w:rsidRPr="0034540D">
        <w:rPr>
          <w:rFonts w:ascii="Times New Roman" w:hAnsi="Times New Roman" w:cs="Times New Roman"/>
          <w:sz w:val="24"/>
          <w:szCs w:val="24"/>
        </w:rPr>
        <w:t xml:space="preserve"> exhaustive. En effet,  l’utilisation du terme « notamment » renseigne qu’il e</w:t>
      </w:r>
      <w:r w:rsidR="00607622" w:rsidRPr="0034540D">
        <w:rPr>
          <w:rFonts w:ascii="Times New Roman" w:hAnsi="Times New Roman" w:cs="Times New Roman"/>
          <w:sz w:val="24"/>
          <w:szCs w:val="24"/>
        </w:rPr>
        <w:t>n</w:t>
      </w:r>
      <w:r w:rsidRPr="0034540D">
        <w:rPr>
          <w:rFonts w:ascii="Times New Roman" w:hAnsi="Times New Roman" w:cs="Times New Roman"/>
          <w:sz w:val="24"/>
          <w:szCs w:val="24"/>
        </w:rPr>
        <w:t xml:space="preserve"> existe d’autres infractions. Mais dans le cadre travail</w:t>
      </w:r>
      <w:r w:rsidR="001E1B72" w:rsidRPr="0034540D">
        <w:rPr>
          <w:rFonts w:ascii="Times New Roman" w:hAnsi="Times New Roman" w:cs="Times New Roman"/>
          <w:sz w:val="24"/>
          <w:szCs w:val="24"/>
        </w:rPr>
        <w:t xml:space="preserve">, il consistera  à se limiter aux </w:t>
      </w:r>
      <w:r w:rsidR="008326A7" w:rsidRPr="0034540D">
        <w:rPr>
          <w:rFonts w:ascii="Times New Roman" w:hAnsi="Times New Roman" w:cs="Times New Roman"/>
          <w:sz w:val="24"/>
          <w:szCs w:val="24"/>
        </w:rPr>
        <w:t>infractions énumérées</w:t>
      </w:r>
      <w:r w:rsidR="001E1B72"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 </w:t>
      </w:r>
    </w:p>
    <w:p w:rsidR="00DA2AE2" w:rsidRPr="0034540D" w:rsidRDefault="00F408B8" w:rsidP="001E5084">
      <w:pPr>
        <w:pStyle w:val="Paragraphedeliste"/>
        <w:tabs>
          <w:tab w:val="left" w:pos="142"/>
          <w:tab w:val="left" w:pos="567"/>
          <w:tab w:val="left" w:pos="709"/>
        </w:tabs>
        <w:spacing w:line="360" w:lineRule="auto"/>
        <w:ind w:left="0"/>
        <w:jc w:val="both"/>
        <w:rPr>
          <w:rFonts w:ascii="Times New Roman" w:hAnsi="Times New Roman" w:cs="Times New Roman"/>
          <w:sz w:val="24"/>
          <w:szCs w:val="24"/>
        </w:rPr>
      </w:pPr>
      <w:r w:rsidRPr="0034540D">
        <w:rPr>
          <w:rFonts w:ascii="Times New Roman" w:hAnsi="Times New Roman" w:cs="Times New Roman"/>
          <w:b/>
          <w:sz w:val="24"/>
          <w:szCs w:val="24"/>
        </w:rPr>
        <w:t xml:space="preserve">Section 1 : </w:t>
      </w:r>
      <w:r w:rsidR="00DA2AE2" w:rsidRPr="0034540D">
        <w:rPr>
          <w:rFonts w:ascii="Times New Roman" w:hAnsi="Times New Roman" w:cs="Times New Roman"/>
          <w:b/>
          <w:sz w:val="24"/>
          <w:szCs w:val="24"/>
        </w:rPr>
        <w:t>L’inexécution des obligations de déclaration</w:t>
      </w:r>
    </w:p>
    <w:p w:rsidR="00BD2B46"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L’obligation de déclarer le transfert de capitaux en pr</w:t>
      </w:r>
      <w:r w:rsidR="00F408B8" w:rsidRPr="0034540D">
        <w:rPr>
          <w:rFonts w:ascii="Times New Roman" w:hAnsi="Times New Roman" w:cs="Times New Roman"/>
          <w:sz w:val="24"/>
          <w:szCs w:val="24"/>
        </w:rPr>
        <w:t>ovenance ou à</w:t>
      </w:r>
      <w:r w:rsidRPr="0034540D">
        <w:rPr>
          <w:rFonts w:ascii="Times New Roman" w:hAnsi="Times New Roman" w:cs="Times New Roman"/>
          <w:sz w:val="24"/>
          <w:szCs w:val="24"/>
        </w:rPr>
        <w:t xml:space="preserve"> destination de l’étranger et la détention de compte à l’étranger est prévue par diverses dispositions du Règlement  </w:t>
      </w:r>
      <w:r w:rsidR="00F408B8" w:rsidRPr="0034540D">
        <w:rPr>
          <w:rFonts w:ascii="Times New Roman" w:hAnsi="Times New Roman" w:cs="Times New Roman"/>
          <w:sz w:val="24"/>
          <w:szCs w:val="24"/>
        </w:rPr>
        <w:t xml:space="preserve">n°09/2010/CM/UEMOA, en date du 1er octobre 2010, relatif aux relations financières extérieures des Etats membres de l’Union Economique et Monétaire Ouest Africaine (UEMOA) </w:t>
      </w:r>
      <w:r w:rsidRPr="0034540D">
        <w:rPr>
          <w:rFonts w:ascii="Times New Roman" w:hAnsi="Times New Roman" w:cs="Times New Roman"/>
          <w:sz w:val="24"/>
          <w:szCs w:val="24"/>
        </w:rPr>
        <w:t xml:space="preserve">et préciser par les instructions et avis de la BCEAO.  Cette obligation,  imposée </w:t>
      </w:r>
      <w:r w:rsidR="001E1B72" w:rsidRPr="0034540D">
        <w:rPr>
          <w:rFonts w:ascii="Times New Roman" w:hAnsi="Times New Roman" w:cs="Times New Roman"/>
          <w:sz w:val="24"/>
          <w:szCs w:val="24"/>
        </w:rPr>
        <w:t xml:space="preserve">à des fins d’informations administratives, </w:t>
      </w:r>
      <w:r w:rsidRPr="0034540D">
        <w:rPr>
          <w:rFonts w:ascii="Times New Roman" w:hAnsi="Times New Roman" w:cs="Times New Roman"/>
          <w:sz w:val="24"/>
          <w:szCs w:val="24"/>
        </w:rPr>
        <w:t xml:space="preserve"> statistiques, économiques  et sécuritaires, fait l’objet de violation de la part des acteurs intervenant dans ce domaine.</w:t>
      </w:r>
      <w:r w:rsidR="00BD2B46" w:rsidRPr="0034540D">
        <w:rPr>
          <w:rFonts w:ascii="Times New Roman" w:hAnsi="Times New Roman" w:cs="Times New Roman"/>
          <w:sz w:val="24"/>
          <w:szCs w:val="24"/>
        </w:rPr>
        <w:t xml:space="preserve"> Cette violation </w:t>
      </w:r>
      <w:r w:rsidR="001E1B72" w:rsidRPr="0034540D">
        <w:rPr>
          <w:rFonts w:ascii="Times New Roman" w:hAnsi="Times New Roman" w:cs="Times New Roman"/>
          <w:sz w:val="24"/>
          <w:szCs w:val="24"/>
        </w:rPr>
        <w:t xml:space="preserve"> constitue </w:t>
      </w:r>
      <w:r w:rsidRPr="0034540D">
        <w:rPr>
          <w:rFonts w:ascii="Times New Roman" w:hAnsi="Times New Roman" w:cs="Times New Roman"/>
          <w:sz w:val="24"/>
          <w:szCs w:val="24"/>
        </w:rPr>
        <w:t xml:space="preserve"> </w:t>
      </w:r>
      <w:r w:rsidR="001E1B72" w:rsidRPr="0034540D">
        <w:rPr>
          <w:rFonts w:ascii="Times New Roman" w:hAnsi="Times New Roman" w:cs="Times New Roman"/>
          <w:sz w:val="24"/>
          <w:szCs w:val="24"/>
        </w:rPr>
        <w:t>une infraction dont la  sanction   est prévue  par les dispositions de la loi uniforme sur le contentieux des infractions à la réglementation des relations financières extérieures des Etats membres de l’Union Economique et Monétaire Ouest Africaine (UEMOA) et de deux projets de décrets d’application internationalisée  au Sénégal à travers la loi n°2014-12 du 28 février 2014  relative au contentieux   des infractions à la réglementation  des relations financières  avec l’étranger</w:t>
      </w:r>
      <w:r w:rsidR="00B939F4" w:rsidRPr="0034540D">
        <w:rPr>
          <w:rFonts w:ascii="Times New Roman" w:hAnsi="Times New Roman" w:cs="Times New Roman"/>
          <w:sz w:val="24"/>
          <w:szCs w:val="24"/>
        </w:rPr>
        <w:t>.</w:t>
      </w:r>
      <w:r w:rsidRPr="0034540D">
        <w:rPr>
          <w:rFonts w:ascii="Times New Roman" w:hAnsi="Times New Roman" w:cs="Times New Roman"/>
          <w:sz w:val="24"/>
          <w:szCs w:val="24"/>
        </w:rPr>
        <w:t xml:space="preserve"> Cette sanction est </w:t>
      </w:r>
      <w:r w:rsidR="00BD2B46" w:rsidRPr="0034540D">
        <w:rPr>
          <w:rFonts w:ascii="Times New Roman" w:hAnsi="Times New Roman" w:cs="Times New Roman"/>
          <w:sz w:val="24"/>
          <w:szCs w:val="24"/>
        </w:rPr>
        <w:t xml:space="preserve">cependant </w:t>
      </w:r>
      <w:r w:rsidRPr="0034540D">
        <w:rPr>
          <w:rFonts w:ascii="Times New Roman" w:hAnsi="Times New Roman" w:cs="Times New Roman"/>
          <w:sz w:val="24"/>
          <w:szCs w:val="24"/>
        </w:rPr>
        <w:t xml:space="preserve">appliquée de façon distinctive entre les personnes physiques et </w:t>
      </w:r>
      <w:r w:rsidR="00B939F4" w:rsidRPr="0034540D">
        <w:rPr>
          <w:rFonts w:ascii="Times New Roman" w:hAnsi="Times New Roman" w:cs="Times New Roman"/>
          <w:sz w:val="24"/>
          <w:szCs w:val="24"/>
        </w:rPr>
        <w:t xml:space="preserve"> les personnes </w:t>
      </w:r>
      <w:r w:rsidRPr="0034540D">
        <w:rPr>
          <w:rFonts w:ascii="Times New Roman" w:hAnsi="Times New Roman" w:cs="Times New Roman"/>
          <w:sz w:val="24"/>
          <w:szCs w:val="24"/>
        </w:rPr>
        <w:t>morales</w:t>
      </w:r>
      <w:r w:rsidR="00B939F4" w:rsidRPr="0034540D">
        <w:rPr>
          <w:rFonts w:ascii="Times New Roman" w:hAnsi="Times New Roman" w:cs="Times New Roman"/>
          <w:sz w:val="24"/>
          <w:szCs w:val="24"/>
        </w:rPr>
        <w:t xml:space="preserve"> et selon </w:t>
      </w:r>
      <w:r w:rsidR="00F408B8" w:rsidRPr="0034540D">
        <w:rPr>
          <w:rFonts w:ascii="Times New Roman" w:hAnsi="Times New Roman" w:cs="Times New Roman"/>
          <w:sz w:val="24"/>
          <w:szCs w:val="24"/>
        </w:rPr>
        <w:t xml:space="preserve">que </w:t>
      </w:r>
      <w:r w:rsidR="00B939F4" w:rsidRPr="0034540D">
        <w:rPr>
          <w:rFonts w:ascii="Times New Roman" w:hAnsi="Times New Roman" w:cs="Times New Roman"/>
          <w:sz w:val="24"/>
          <w:szCs w:val="24"/>
        </w:rPr>
        <w:t>l’infraction est commise au Sénégal ou dans un autre Etat membre de l’UEMOA</w:t>
      </w:r>
      <w:r w:rsidRPr="0034540D">
        <w:rPr>
          <w:rFonts w:ascii="Times New Roman" w:hAnsi="Times New Roman" w:cs="Times New Roman"/>
          <w:sz w:val="24"/>
          <w:szCs w:val="24"/>
        </w:rPr>
        <w:t xml:space="preserve">.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w:t>
      </w:r>
    </w:p>
    <w:p w:rsidR="00DA2AE2" w:rsidRPr="0034540D" w:rsidRDefault="00DA2AE2" w:rsidP="001E5084">
      <w:pPr>
        <w:pStyle w:val="Paragraphedeliste"/>
        <w:tabs>
          <w:tab w:val="left" w:pos="142"/>
          <w:tab w:val="left" w:pos="567"/>
          <w:tab w:val="left" w:pos="709"/>
        </w:tabs>
        <w:spacing w:line="360" w:lineRule="auto"/>
        <w:ind w:left="0"/>
        <w:jc w:val="both"/>
        <w:rPr>
          <w:rFonts w:ascii="Times New Roman" w:hAnsi="Times New Roman" w:cs="Times New Roman"/>
          <w:color w:val="FF0000"/>
          <w:sz w:val="24"/>
          <w:szCs w:val="24"/>
        </w:rPr>
      </w:pPr>
      <w:r w:rsidRPr="0034540D">
        <w:rPr>
          <w:rFonts w:ascii="Times New Roman" w:hAnsi="Times New Roman" w:cs="Times New Roman"/>
          <w:sz w:val="24"/>
          <w:szCs w:val="24"/>
        </w:rPr>
        <w:t>Note : Rappel</w:t>
      </w:r>
      <w:r w:rsidR="00705BA5" w:rsidRPr="0034540D">
        <w:rPr>
          <w:rFonts w:ascii="Times New Roman" w:hAnsi="Times New Roman" w:cs="Times New Roman"/>
          <w:sz w:val="24"/>
          <w:szCs w:val="24"/>
        </w:rPr>
        <w:t xml:space="preserve"> de diverses opérations ou domaines dans lesquels  </w:t>
      </w:r>
      <w:r w:rsidRPr="0034540D">
        <w:rPr>
          <w:rFonts w:ascii="Times New Roman" w:hAnsi="Times New Roman" w:cs="Times New Roman"/>
          <w:sz w:val="24"/>
          <w:szCs w:val="24"/>
        </w:rPr>
        <w:t xml:space="preserve">  l’obligation de déclaration </w:t>
      </w:r>
      <w:r w:rsidR="00705BA5" w:rsidRPr="0034540D">
        <w:rPr>
          <w:rFonts w:ascii="Times New Roman" w:hAnsi="Times New Roman" w:cs="Times New Roman"/>
          <w:sz w:val="24"/>
          <w:szCs w:val="24"/>
        </w:rPr>
        <w:t xml:space="preserve">est requise conformément aux </w:t>
      </w:r>
      <w:r w:rsidRPr="0034540D">
        <w:rPr>
          <w:rFonts w:ascii="Times New Roman" w:hAnsi="Times New Roman" w:cs="Times New Roman"/>
          <w:sz w:val="24"/>
          <w:szCs w:val="24"/>
        </w:rPr>
        <w:t xml:space="preserve">dispositions communautaires relatives aux relations financières extérieures de l’Union et dont la violation constitue </w:t>
      </w:r>
      <w:r w:rsidR="00705BA5" w:rsidRPr="0034540D">
        <w:rPr>
          <w:rFonts w:ascii="Times New Roman" w:hAnsi="Times New Roman" w:cs="Times New Roman"/>
          <w:sz w:val="24"/>
          <w:szCs w:val="24"/>
        </w:rPr>
        <w:t xml:space="preserve">une </w:t>
      </w:r>
      <w:r w:rsidRPr="0034540D">
        <w:rPr>
          <w:rFonts w:ascii="Times New Roman" w:hAnsi="Times New Roman" w:cs="Times New Roman"/>
          <w:sz w:val="24"/>
          <w:szCs w:val="24"/>
        </w:rPr>
        <w:t>infraction à la législation  des changes</w:t>
      </w:r>
      <w:r w:rsidR="00705BA5" w:rsidRPr="0034540D">
        <w:rPr>
          <w:rFonts w:ascii="Times New Roman" w:hAnsi="Times New Roman" w:cs="Times New Roman"/>
          <w:sz w:val="24"/>
          <w:szCs w:val="24"/>
        </w:rPr>
        <w:t xml:space="preserve"> selon l’article 426 du code des douanes :</w:t>
      </w:r>
    </w:p>
    <w:p w:rsidR="00DA2AE2" w:rsidRPr="0034540D" w:rsidRDefault="00DA2AE2" w:rsidP="001E5084">
      <w:pPr>
        <w:pStyle w:val="Paragraphedeliste"/>
        <w:numPr>
          <w:ilvl w:val="0"/>
          <w:numId w:val="2"/>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 les opérations en capital</w:t>
      </w:r>
      <w:r w:rsidRPr="0034540D">
        <w:rPr>
          <w:rFonts w:ascii="Times New Roman" w:hAnsi="Times New Roman" w:cs="Times New Roman"/>
          <w:sz w:val="24"/>
          <w:szCs w:val="24"/>
        </w:rPr>
        <w:t> </w:t>
      </w:r>
      <w:r w:rsidR="00065303" w:rsidRPr="0034540D">
        <w:rPr>
          <w:rFonts w:ascii="Times New Roman" w:hAnsi="Times New Roman" w:cs="Times New Roman"/>
          <w:sz w:val="24"/>
          <w:szCs w:val="24"/>
        </w:rPr>
        <w:t>: Aux termes de l’article 6 du R</w:t>
      </w:r>
      <w:r w:rsidRPr="0034540D">
        <w:rPr>
          <w:rFonts w:ascii="Times New Roman" w:hAnsi="Times New Roman" w:cs="Times New Roman"/>
          <w:sz w:val="24"/>
          <w:szCs w:val="24"/>
        </w:rPr>
        <w:t>èglement 09/2010/CM/UEMOA, ces opérations rassemblent l’ensemble des mouvements de capitaux notamment :</w:t>
      </w:r>
    </w:p>
    <w:p w:rsidR="00DA2AE2" w:rsidRPr="0034540D" w:rsidRDefault="00DA2AE2" w:rsidP="001E5084">
      <w:pPr>
        <w:pStyle w:val="Paragraphedeliste"/>
        <w:numPr>
          <w:ilvl w:val="0"/>
          <w:numId w:val="3"/>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lastRenderedPageBreak/>
        <w:t>Les opérations  d’investissement</w:t>
      </w:r>
      <w:r w:rsidRPr="0034540D">
        <w:rPr>
          <w:rFonts w:ascii="Times New Roman" w:hAnsi="Times New Roman" w:cs="Times New Roman"/>
          <w:sz w:val="24"/>
          <w:szCs w:val="24"/>
        </w:rPr>
        <w:t> : en cette matière, l</w:t>
      </w:r>
      <w:r w:rsidRPr="0034540D">
        <w:rPr>
          <w:rFonts w:ascii="Times New Roman" w:eastAsia="Times New Roman" w:hAnsi="Times New Roman" w:cs="Times New Roman"/>
          <w:color w:val="1A1A1A"/>
          <w:sz w:val="24"/>
          <w:szCs w:val="24"/>
          <w:lang w:eastAsia="fr-FR"/>
        </w:rPr>
        <w:t xml:space="preserve">’objectif du règlement était de fixer un régime clair et unifié en matière de change pour les investissements dans la zone UEMOA. Ceux-ci étant  largement définis à l’article 10 du règlement sus visé comme consistant à la souscription au capital initial lors de la création d’une société, </w:t>
      </w:r>
      <w:r w:rsidRPr="0034540D">
        <w:rPr>
          <w:rFonts w:ascii="Times New Roman" w:hAnsi="Times New Roman" w:cs="Times New Roman"/>
          <w:sz w:val="24"/>
          <w:szCs w:val="24"/>
        </w:rPr>
        <w:t xml:space="preserve">à la prise ou l’extension de participation dans une société existante, à la création, l’acquisition ou l’extension d’un établissement non doté de la personnalité morale, à l’octroi de prêt, d’avance, de caution ou de garantie, entre autres. On </w:t>
      </w:r>
      <w:r w:rsidR="00705BA5" w:rsidRPr="0034540D">
        <w:rPr>
          <w:rFonts w:ascii="Times New Roman" w:hAnsi="Times New Roman" w:cs="Times New Roman"/>
          <w:sz w:val="24"/>
          <w:szCs w:val="24"/>
        </w:rPr>
        <w:t xml:space="preserve">en </w:t>
      </w:r>
      <w:r w:rsidRPr="0034540D">
        <w:rPr>
          <w:rFonts w:ascii="Times New Roman" w:hAnsi="Times New Roman" w:cs="Times New Roman"/>
          <w:sz w:val="24"/>
          <w:szCs w:val="24"/>
        </w:rPr>
        <w:t>distingue :</w:t>
      </w:r>
    </w:p>
    <w:p w:rsidR="00DA2AE2" w:rsidRPr="0034540D" w:rsidRDefault="00DA2AE2" w:rsidP="001E5084">
      <w:pPr>
        <w:pStyle w:val="Paragraphedeliste"/>
        <w:numPr>
          <w:ilvl w:val="0"/>
          <w:numId w:val="4"/>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Les investissements d’un résident</w:t>
      </w:r>
      <w:r w:rsidR="00DA77DD" w:rsidRPr="0034540D">
        <w:rPr>
          <w:rStyle w:val="Appelnotedebasdep"/>
          <w:rFonts w:ascii="Times New Roman" w:hAnsi="Times New Roman" w:cs="Times New Roman"/>
          <w:sz w:val="24"/>
          <w:szCs w:val="24"/>
        </w:rPr>
        <w:footnoteReference w:id="9"/>
      </w:r>
      <w:r w:rsidR="00DA77DD" w:rsidRPr="0034540D">
        <w:rPr>
          <w:rFonts w:ascii="Times New Roman" w:hAnsi="Times New Roman" w:cs="Times New Roman"/>
          <w:sz w:val="24"/>
          <w:szCs w:val="24"/>
        </w:rPr>
        <w:t xml:space="preserve"> </w:t>
      </w:r>
      <w:r w:rsidRPr="0034540D">
        <w:rPr>
          <w:rFonts w:ascii="Times New Roman" w:hAnsi="Times New Roman" w:cs="Times New Roman"/>
          <w:b/>
          <w:sz w:val="24"/>
          <w:szCs w:val="24"/>
        </w:rPr>
        <w:t>à l’étranger</w:t>
      </w:r>
      <w:r w:rsidRPr="0034540D">
        <w:rPr>
          <w:rFonts w:ascii="Times New Roman" w:hAnsi="Times New Roman" w:cs="Times New Roman"/>
          <w:sz w:val="24"/>
          <w:szCs w:val="24"/>
        </w:rPr>
        <w:t> : Ainsi, il est fait obligation  à tout résident</w:t>
      </w:r>
      <w:r w:rsidR="00CF2688" w:rsidRPr="0034540D">
        <w:rPr>
          <w:rFonts w:ascii="Times New Roman" w:hAnsi="Times New Roman" w:cs="Times New Roman"/>
          <w:sz w:val="24"/>
          <w:szCs w:val="24"/>
        </w:rPr>
        <w:t xml:space="preserve"> </w:t>
      </w:r>
      <w:r w:rsidRPr="0034540D">
        <w:rPr>
          <w:rFonts w:ascii="Times New Roman" w:hAnsi="Times New Roman" w:cs="Times New Roman"/>
          <w:sz w:val="24"/>
          <w:szCs w:val="24"/>
        </w:rPr>
        <w:t>de déclarer,  à titre d’information au Ministre chargé des Finances et à la BCEAO,  la liquidation de ses</w:t>
      </w:r>
      <w:r w:rsidR="00705BA5" w:rsidRPr="0034540D">
        <w:rPr>
          <w:rFonts w:ascii="Times New Roman" w:hAnsi="Times New Roman" w:cs="Times New Roman"/>
          <w:sz w:val="24"/>
          <w:szCs w:val="24"/>
        </w:rPr>
        <w:t xml:space="preserve"> investissements à l’étranger</w:t>
      </w:r>
      <w:r w:rsidR="00CF2688" w:rsidRPr="0034540D">
        <w:rPr>
          <w:rStyle w:val="Appelnotedebasdep"/>
          <w:rFonts w:ascii="Times New Roman" w:hAnsi="Times New Roman" w:cs="Times New Roman"/>
          <w:sz w:val="24"/>
          <w:szCs w:val="24"/>
        </w:rPr>
        <w:footnoteReference w:id="10"/>
      </w:r>
      <w:r w:rsidR="00705BA5" w:rsidRPr="0034540D">
        <w:rPr>
          <w:rFonts w:ascii="Times New Roman" w:hAnsi="Times New Roman" w:cs="Times New Roman"/>
          <w:sz w:val="24"/>
          <w:szCs w:val="24"/>
        </w:rPr>
        <w:t xml:space="preserve"> (</w:t>
      </w:r>
      <w:r w:rsidRPr="0034540D">
        <w:rPr>
          <w:rFonts w:ascii="Times New Roman" w:hAnsi="Times New Roman" w:cs="Times New Roman"/>
          <w:sz w:val="24"/>
          <w:szCs w:val="24"/>
        </w:rPr>
        <w:t>cf article 10 al.6)</w:t>
      </w:r>
    </w:p>
    <w:p w:rsidR="00DA2AE2" w:rsidRPr="0034540D" w:rsidRDefault="00DA2AE2" w:rsidP="001E5084">
      <w:pPr>
        <w:pStyle w:val="Paragraphedeliste"/>
        <w:numPr>
          <w:ilvl w:val="0"/>
          <w:numId w:val="4"/>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Les investissements étrangers dans un  Etat membre</w:t>
      </w:r>
      <w:r w:rsidRPr="0034540D">
        <w:rPr>
          <w:rFonts w:ascii="Times New Roman" w:hAnsi="Times New Roman" w:cs="Times New Roman"/>
          <w:sz w:val="24"/>
          <w:szCs w:val="24"/>
        </w:rPr>
        <w:t xml:space="preserve"> : De même, la  constitution d’investissements étrangers dans </w:t>
      </w:r>
      <w:r w:rsidR="00EA4753" w:rsidRPr="0034540D">
        <w:rPr>
          <w:rFonts w:ascii="Times New Roman" w:hAnsi="Times New Roman" w:cs="Times New Roman"/>
          <w:sz w:val="24"/>
          <w:szCs w:val="24"/>
        </w:rPr>
        <w:t xml:space="preserve">un Etat membre de l’UEMOA et  la </w:t>
      </w:r>
      <w:r w:rsidRPr="0034540D">
        <w:rPr>
          <w:rFonts w:ascii="Times New Roman" w:hAnsi="Times New Roman" w:cs="Times New Roman"/>
          <w:sz w:val="24"/>
          <w:szCs w:val="24"/>
        </w:rPr>
        <w:t xml:space="preserve"> cession d’investissements entre non résidents</w:t>
      </w:r>
      <w:r w:rsidRPr="0034540D">
        <w:rPr>
          <w:rStyle w:val="Appelnotedebasdep"/>
          <w:rFonts w:ascii="Times New Roman" w:hAnsi="Times New Roman" w:cs="Times New Roman"/>
          <w:sz w:val="24"/>
          <w:szCs w:val="24"/>
        </w:rPr>
        <w:footnoteReference w:id="11"/>
      </w:r>
      <w:r w:rsidRPr="0034540D">
        <w:rPr>
          <w:rFonts w:ascii="Times New Roman" w:hAnsi="Times New Roman" w:cs="Times New Roman"/>
          <w:sz w:val="24"/>
          <w:szCs w:val="24"/>
        </w:rPr>
        <w:t>,  même si elles sont libres, sont soumises à l’obligation  de déclaration</w:t>
      </w:r>
      <w:r w:rsidR="00705BA5" w:rsidRPr="0034540D">
        <w:rPr>
          <w:rFonts w:ascii="Times New Roman" w:hAnsi="Times New Roman" w:cs="Times New Roman"/>
          <w:sz w:val="24"/>
          <w:szCs w:val="24"/>
        </w:rPr>
        <w:t xml:space="preserve"> à la Direction chargée des Finances Extérieures et à la BCEAO,  à des fins statistiques</w:t>
      </w:r>
      <w:r w:rsidRPr="0034540D">
        <w:rPr>
          <w:rFonts w:ascii="Times New Roman" w:hAnsi="Times New Roman" w:cs="Times New Roman"/>
          <w:sz w:val="24"/>
          <w:szCs w:val="24"/>
        </w:rPr>
        <w:t>, lorsqu’il s’agit d’investissements directs</w:t>
      </w:r>
      <w:r w:rsidR="00705BA5" w:rsidRPr="0034540D">
        <w:rPr>
          <w:rFonts w:ascii="Times New Roman" w:hAnsi="Times New Roman" w:cs="Times New Roman"/>
          <w:sz w:val="24"/>
          <w:szCs w:val="24"/>
        </w:rPr>
        <w:t xml:space="preserve"> (</w:t>
      </w:r>
      <w:r w:rsidRPr="0034540D">
        <w:rPr>
          <w:rFonts w:ascii="Times New Roman" w:hAnsi="Times New Roman" w:cs="Times New Roman"/>
          <w:sz w:val="24"/>
          <w:szCs w:val="24"/>
        </w:rPr>
        <w:t>cf article 10 al. 7)</w:t>
      </w:r>
      <w:r w:rsidRPr="0034540D">
        <w:rPr>
          <w:rStyle w:val="Appelnotedebasdep"/>
          <w:rFonts w:ascii="Times New Roman" w:hAnsi="Times New Roman" w:cs="Times New Roman"/>
          <w:sz w:val="24"/>
          <w:szCs w:val="24"/>
        </w:rPr>
        <w:footnoteReference w:id="12"/>
      </w:r>
      <w:r w:rsidRPr="0034540D">
        <w:rPr>
          <w:rFonts w:ascii="Times New Roman" w:hAnsi="Times New Roman" w:cs="Times New Roman"/>
          <w:sz w:val="24"/>
          <w:szCs w:val="24"/>
        </w:rPr>
        <w:t xml:space="preserve"> </w:t>
      </w:r>
      <w:r w:rsidR="00705BA5" w:rsidRPr="0034540D">
        <w:rPr>
          <w:rFonts w:ascii="Times New Roman" w:hAnsi="Times New Roman" w:cs="Times New Roman"/>
          <w:sz w:val="24"/>
          <w:szCs w:val="24"/>
        </w:rPr>
        <w:t>.</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lastRenderedPageBreak/>
        <w:t xml:space="preserve">NB : l’annexe VII au règlement fixe de façon non exhaustive  les renseignements que doivent contenir la lettre adressée au Ministre chargé des Finances </w:t>
      </w:r>
      <w:r w:rsidRPr="0034540D">
        <w:rPr>
          <w:rStyle w:val="Appelnotedebasdep"/>
          <w:rFonts w:ascii="Times New Roman" w:hAnsi="Times New Roman" w:cs="Times New Roman"/>
          <w:sz w:val="24"/>
          <w:szCs w:val="24"/>
        </w:rPr>
        <w:footnoteReference w:id="13"/>
      </w:r>
      <w:r w:rsidR="00EA4753" w:rsidRPr="0034540D">
        <w:rPr>
          <w:rFonts w:ascii="Times New Roman" w:hAnsi="Times New Roman" w:cs="Times New Roman"/>
          <w:sz w:val="24"/>
          <w:szCs w:val="24"/>
        </w:rPr>
        <w:t>.</w:t>
      </w:r>
      <w:r w:rsidRPr="0034540D">
        <w:rPr>
          <w:rFonts w:ascii="Times New Roman" w:hAnsi="Times New Roman" w:cs="Times New Roman"/>
          <w:sz w:val="24"/>
          <w:szCs w:val="24"/>
        </w:rPr>
        <w:t xml:space="preserve">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p>
    <w:p w:rsidR="00DA2AE2" w:rsidRPr="0034540D" w:rsidRDefault="00DA2AE2" w:rsidP="001E5084">
      <w:pPr>
        <w:pStyle w:val="Paragraphedeliste"/>
        <w:numPr>
          <w:ilvl w:val="0"/>
          <w:numId w:val="3"/>
        </w:numPr>
        <w:tabs>
          <w:tab w:val="left" w:pos="142"/>
          <w:tab w:val="left" w:pos="567"/>
          <w:tab w:val="left" w:pos="709"/>
        </w:tabs>
        <w:spacing w:line="360" w:lineRule="auto"/>
        <w:ind w:left="0" w:firstLine="0"/>
        <w:jc w:val="both"/>
        <w:rPr>
          <w:rFonts w:ascii="Times New Roman" w:hAnsi="Times New Roman" w:cs="Times New Roman"/>
          <w:sz w:val="24"/>
          <w:szCs w:val="24"/>
        </w:rPr>
      </w:pPr>
      <w:r w:rsidRPr="0034540D">
        <w:rPr>
          <w:rFonts w:ascii="Times New Roman" w:hAnsi="Times New Roman" w:cs="Times New Roman"/>
          <w:b/>
          <w:sz w:val="24"/>
          <w:szCs w:val="24"/>
        </w:rPr>
        <w:t>Les opérations d’emprunts</w:t>
      </w:r>
      <w:r w:rsidRPr="0034540D">
        <w:rPr>
          <w:rFonts w:ascii="Times New Roman" w:hAnsi="Times New Roman" w:cs="Times New Roman"/>
          <w:sz w:val="24"/>
          <w:szCs w:val="24"/>
        </w:rPr>
        <w:t xml:space="preserve"> faites à l’étranger de même que le  remboursement, par achat et transfert de devises ou par crédit de comptes étrangers en francs ou en euros, de tout emprunt à l’étranger sont soumises à une obligation de déclaration  statistique à la Direction chargée des Finances Extérieures et à la BCEAO. </w:t>
      </w:r>
    </w:p>
    <w:p w:rsidR="00DA2AE2" w:rsidRPr="0034540D" w:rsidRDefault="00DA2AE2" w:rsidP="001E5084">
      <w:pPr>
        <w:pStyle w:val="Paragraphedeliste"/>
        <w:numPr>
          <w:ilvl w:val="0"/>
          <w:numId w:val="2"/>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 les opérations  courantes :</w:t>
      </w:r>
    </w:p>
    <w:p w:rsidR="00DA2AE2" w:rsidRPr="0034540D" w:rsidRDefault="00DA2AE2" w:rsidP="001E5084">
      <w:pPr>
        <w:pStyle w:val="Paragraphedeliste"/>
        <w:numPr>
          <w:ilvl w:val="0"/>
          <w:numId w:val="5"/>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Le transport manuel de  signes monétaires :</w:t>
      </w:r>
    </w:p>
    <w:p w:rsidR="00DA2AE2" w:rsidRPr="0034540D" w:rsidRDefault="00DA2AE2" w:rsidP="001E5084">
      <w:pPr>
        <w:pStyle w:val="Paragraphedeliste"/>
        <w:numPr>
          <w:ilvl w:val="0"/>
          <w:numId w:val="6"/>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sz w:val="24"/>
          <w:szCs w:val="24"/>
        </w:rPr>
      </w:pPr>
      <w:r w:rsidRPr="0034540D">
        <w:rPr>
          <w:rFonts w:ascii="Times New Roman" w:hAnsi="Times New Roman" w:cs="Times New Roman"/>
          <w:b/>
          <w:sz w:val="24"/>
          <w:szCs w:val="24"/>
        </w:rPr>
        <w:t>par les voyageurs résidents</w:t>
      </w:r>
      <w:r w:rsidRPr="0034540D">
        <w:rPr>
          <w:rFonts w:ascii="Times New Roman" w:hAnsi="Times New Roman" w:cs="Times New Roman"/>
          <w:sz w:val="24"/>
          <w:szCs w:val="24"/>
        </w:rPr>
        <w:t> : en vertu du principe de la libre circulation de  la monnaie au sein de l’UEMOA, aucune déclarer n’est requise pour les voyageur</w:t>
      </w:r>
      <w:r w:rsidR="0079743C" w:rsidRPr="0034540D">
        <w:rPr>
          <w:rFonts w:ascii="Times New Roman" w:hAnsi="Times New Roman" w:cs="Times New Roman"/>
          <w:sz w:val="24"/>
          <w:szCs w:val="24"/>
        </w:rPr>
        <w:t>s</w:t>
      </w:r>
      <w:r w:rsidRPr="0034540D">
        <w:rPr>
          <w:rFonts w:ascii="Times New Roman" w:hAnsi="Times New Roman" w:cs="Times New Roman"/>
          <w:sz w:val="24"/>
          <w:szCs w:val="24"/>
        </w:rPr>
        <w:t xml:space="preserve"> résident lorsqu’ils se déplacent dans les Etats membres de cette </w:t>
      </w:r>
      <w:r w:rsidR="00EA4753" w:rsidRPr="0034540D">
        <w:rPr>
          <w:rFonts w:ascii="Times New Roman" w:hAnsi="Times New Roman" w:cs="Times New Roman"/>
          <w:sz w:val="24"/>
          <w:szCs w:val="24"/>
        </w:rPr>
        <w:t>Union</w:t>
      </w:r>
      <w:r w:rsidRPr="0034540D">
        <w:rPr>
          <w:rFonts w:ascii="Times New Roman" w:hAnsi="Times New Roman" w:cs="Times New Roman"/>
          <w:sz w:val="24"/>
          <w:szCs w:val="24"/>
        </w:rPr>
        <w:t>. Par contre, ils sont tenus de déclarer les devises</w:t>
      </w:r>
      <w:r w:rsidR="00EA4753" w:rsidRPr="0034540D">
        <w:rPr>
          <w:rStyle w:val="Appelnotedebasdep"/>
          <w:rFonts w:ascii="Times New Roman" w:hAnsi="Times New Roman" w:cs="Times New Roman"/>
          <w:sz w:val="24"/>
          <w:szCs w:val="24"/>
        </w:rPr>
        <w:footnoteReference w:id="14"/>
      </w:r>
      <w:r w:rsidR="00424914" w:rsidRPr="0034540D">
        <w:rPr>
          <w:rFonts w:ascii="Times New Roman" w:hAnsi="Times New Roman" w:cs="Times New Roman"/>
          <w:sz w:val="24"/>
          <w:szCs w:val="24"/>
        </w:rPr>
        <w:t xml:space="preserve"> dont ils sont porteurs dés </w:t>
      </w:r>
      <w:r w:rsidRPr="0034540D">
        <w:rPr>
          <w:rFonts w:ascii="Times New Roman" w:hAnsi="Times New Roman" w:cs="Times New Roman"/>
          <w:sz w:val="24"/>
          <w:szCs w:val="24"/>
        </w:rPr>
        <w:t xml:space="preserve"> que leur montant excède la contre valeur d’un (1) million francs CFA. </w:t>
      </w:r>
    </w:p>
    <w:p w:rsidR="00DA2AE2" w:rsidRPr="0034540D" w:rsidRDefault="00DA2AE2" w:rsidP="001E5084">
      <w:pPr>
        <w:pStyle w:val="Paragraphedeliste"/>
        <w:numPr>
          <w:ilvl w:val="0"/>
          <w:numId w:val="6"/>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sz w:val="24"/>
          <w:szCs w:val="24"/>
        </w:rPr>
      </w:pPr>
      <w:r w:rsidRPr="0034540D">
        <w:rPr>
          <w:rFonts w:ascii="Times New Roman" w:hAnsi="Times New Roman" w:cs="Times New Roman"/>
          <w:b/>
          <w:sz w:val="24"/>
          <w:szCs w:val="24"/>
        </w:rPr>
        <w:t>par les voyageurs non résidents</w:t>
      </w:r>
      <w:r w:rsidRPr="0034540D">
        <w:rPr>
          <w:rFonts w:ascii="Times New Roman" w:hAnsi="Times New Roman" w:cs="Times New Roman"/>
          <w:sz w:val="24"/>
          <w:szCs w:val="24"/>
        </w:rPr>
        <w:t xml:space="preserve"> : il est fait obligation  aux voyageurs </w:t>
      </w:r>
      <w:r w:rsidR="0079743C" w:rsidRPr="0034540D">
        <w:rPr>
          <w:rFonts w:ascii="Times New Roman" w:hAnsi="Times New Roman" w:cs="Times New Roman"/>
          <w:sz w:val="24"/>
          <w:szCs w:val="24"/>
        </w:rPr>
        <w:t xml:space="preserve">non </w:t>
      </w:r>
      <w:r w:rsidRPr="0034540D">
        <w:rPr>
          <w:rFonts w:ascii="Times New Roman" w:hAnsi="Times New Roman" w:cs="Times New Roman"/>
          <w:sz w:val="24"/>
          <w:szCs w:val="24"/>
        </w:rPr>
        <w:t xml:space="preserve">résidents de déclarer tous les  moyens de paiement dont ils sont porteurs lorsque le montant transporté excède la contre valeur d’un(1) million de francs CFA. Cette déclaration est faite par écrit à l’entrée et à la sortie du territoire national. </w:t>
      </w:r>
    </w:p>
    <w:p w:rsidR="005432B9" w:rsidRPr="0034540D" w:rsidRDefault="005432B9" w:rsidP="001E5084">
      <w:pPr>
        <w:pStyle w:val="Paragraphedeliste"/>
        <w:tabs>
          <w:tab w:val="left" w:pos="142"/>
          <w:tab w:val="left" w:pos="567"/>
          <w:tab w:val="left" w:pos="709"/>
        </w:tabs>
        <w:autoSpaceDE w:val="0"/>
        <w:autoSpaceDN w:val="0"/>
        <w:adjustRightInd w:val="0"/>
        <w:spacing w:after="0" w:line="360" w:lineRule="auto"/>
        <w:ind w:left="1887"/>
        <w:jc w:val="both"/>
        <w:rPr>
          <w:rFonts w:ascii="Times New Roman" w:eastAsia="Times New Roman" w:hAnsi="Times New Roman" w:cs="Times New Roman"/>
          <w:b/>
          <w:bCs/>
          <w:color w:val="212529"/>
          <w:kern w:val="36"/>
          <w:sz w:val="24"/>
          <w:szCs w:val="24"/>
          <w:lang w:eastAsia="fr-FR"/>
        </w:rPr>
      </w:pPr>
      <w:r w:rsidRPr="0034540D">
        <w:rPr>
          <w:rFonts w:ascii="Times New Roman" w:hAnsi="Times New Roman" w:cs="Times New Roman"/>
          <w:b/>
          <w:sz w:val="24"/>
          <w:szCs w:val="24"/>
        </w:rPr>
        <w:t xml:space="preserve">Note : </w:t>
      </w:r>
      <w:r w:rsidRPr="0034540D">
        <w:rPr>
          <w:rFonts w:ascii="Times New Roman" w:eastAsia="Times New Roman" w:hAnsi="Times New Roman" w:cs="Times New Roman"/>
          <w:b/>
          <w:bCs/>
          <w:color w:val="212529"/>
          <w:kern w:val="36"/>
          <w:sz w:val="24"/>
          <w:szCs w:val="24"/>
          <w:lang w:eastAsia="fr-FR"/>
        </w:rPr>
        <w:t>Cour de cassation,  arrêt n°23 du 17 avril 2001,  Administration des douanes c/ Jean THEVOZ, bulletin des arrêts de la Cour de Cassation, année judiciaire 200-2001, n°9 avril 2006 ,p.29</w:t>
      </w:r>
    </w:p>
    <w:p w:rsidR="005432B9" w:rsidRPr="0034540D" w:rsidRDefault="005432B9" w:rsidP="001E5084">
      <w:pPr>
        <w:pStyle w:val="Paragraphedeliste"/>
        <w:tabs>
          <w:tab w:val="left" w:pos="142"/>
          <w:tab w:val="left" w:pos="567"/>
          <w:tab w:val="left" w:pos="709"/>
        </w:tabs>
        <w:autoSpaceDE w:val="0"/>
        <w:autoSpaceDN w:val="0"/>
        <w:adjustRightInd w:val="0"/>
        <w:spacing w:after="0" w:line="360" w:lineRule="auto"/>
        <w:ind w:left="1843"/>
        <w:jc w:val="both"/>
        <w:rPr>
          <w:rFonts w:ascii="Times New Roman" w:hAnsi="Times New Roman" w:cs="Times New Roman"/>
          <w:sz w:val="24"/>
          <w:szCs w:val="24"/>
        </w:rPr>
      </w:pPr>
      <w:r w:rsidRPr="0034540D">
        <w:rPr>
          <w:rFonts w:ascii="Times New Roman" w:eastAsia="Times New Roman" w:hAnsi="Times New Roman" w:cs="Times New Roman"/>
          <w:i/>
          <w:color w:val="212529"/>
          <w:sz w:val="24"/>
          <w:szCs w:val="24"/>
          <w:lang w:eastAsia="fr-FR"/>
        </w:rPr>
        <w:t xml:space="preserve">« ATTENDU qu'il résulte des constatations de l'arrêt attaqué qu'à son entrée sur le territoire le 28 mars 1995, Jean Daniel THEVOZ de nationalité suisse, a déclaré en douane des devises d'un montant de 680.000 dollars; que le 31 mars, il a été interpellé à bord d'un avion qui devait le conduire en Gambie par les agents des douanes de l'aéroport; que ceux-ci ont découvert dans sa mallette les </w:t>
      </w:r>
      <w:r w:rsidRPr="0034540D">
        <w:rPr>
          <w:rFonts w:ascii="Times New Roman" w:eastAsia="Times New Roman" w:hAnsi="Times New Roman" w:cs="Times New Roman"/>
          <w:i/>
          <w:color w:val="212529"/>
          <w:sz w:val="24"/>
          <w:szCs w:val="24"/>
          <w:lang w:eastAsia="fr-FR"/>
        </w:rPr>
        <w:lastRenderedPageBreak/>
        <w:t>sommes de 260.000 dollars et 853.000 francs CFA;</w:t>
      </w:r>
      <w:r w:rsidRPr="0034540D">
        <w:rPr>
          <w:rFonts w:ascii="Times New Roman" w:eastAsia="Times New Roman" w:hAnsi="Times New Roman" w:cs="Times New Roman"/>
          <w:i/>
          <w:color w:val="212529"/>
          <w:sz w:val="24"/>
          <w:szCs w:val="24"/>
          <w:lang w:eastAsia="fr-FR"/>
        </w:rPr>
        <w:br/>
        <w:t>ATTENDU que pour confirmer l'ordonnance de refus d'informer contre THEVOZ du chef d'infraction à la législation sur le contrôle des changes la chambre d'accusation énonce que la loi n° 67-33 du 30 juin 1967 relative aux relations financières avec l'étranger qui fonde le procès-verbal de saisie, a été abrogée par l'ordonnance n° 94-28 du 11 février 1994 que l'Administration des Douanes a visée dans ses conclusions; que la chambre d'accusation ajoute que l'ordonnance suscité ainsi que l'ordonnance n° 94-29 du 28 février 1994 affirment le principe de la liberté des relations financières du Sénégal avec l'étranger et prévoient que les restrictions à ce principe pourront être apportées par décret; que le décret n° 95-777 du 18 septembre 1995 pris en application de ces ordonnances, renvoie à un arrêté du Ministre chargé des Finances «qui devra préciser les conditions dans lesquelles les dérogations à ces principes généraux seront admises»; que cet arrêté n'a jamais paru; qu'enfin la circulaire n° 169 du 11 Août 1993 du Ministre de l'Economie, des Finances et du Plan invoquée par l'administrations poursuivante ne peut déroger ni au décret ni aux ordonnances susvisées;</w:t>
      </w:r>
    </w:p>
    <w:p w:rsidR="005432B9" w:rsidRPr="0034540D" w:rsidRDefault="005432B9" w:rsidP="001E5084">
      <w:pPr>
        <w:pStyle w:val="Paragraphedeliste"/>
        <w:tabs>
          <w:tab w:val="left" w:pos="142"/>
          <w:tab w:val="left" w:pos="567"/>
          <w:tab w:val="left" w:pos="709"/>
        </w:tabs>
        <w:autoSpaceDE w:val="0"/>
        <w:autoSpaceDN w:val="0"/>
        <w:adjustRightInd w:val="0"/>
        <w:spacing w:after="0" w:line="360" w:lineRule="auto"/>
        <w:ind w:left="1843"/>
        <w:jc w:val="both"/>
        <w:rPr>
          <w:rFonts w:ascii="Times New Roman" w:hAnsi="Times New Roman" w:cs="Times New Roman"/>
          <w:sz w:val="24"/>
          <w:szCs w:val="24"/>
        </w:rPr>
      </w:pPr>
      <w:r w:rsidRPr="0034540D">
        <w:rPr>
          <w:rFonts w:ascii="Times New Roman" w:eastAsia="Times New Roman" w:hAnsi="Times New Roman" w:cs="Times New Roman"/>
          <w:i/>
          <w:color w:val="212529"/>
          <w:sz w:val="24"/>
          <w:szCs w:val="24"/>
          <w:lang w:eastAsia="fr-FR"/>
        </w:rPr>
        <w:t>ATTENDU qu'en cet état, la Cour de cassation est en mesure de s'assurer que la chambre d'accusation a justifié sa décision; qu'en effet, d'une part, la circulaire ministérielle du 11 Août 1993 n'est pas applicable dès lors qu'il résulte de l'article 1er de l'ordonnance n° 94-28 du 11 février 1994 que les restrictions au principe de la liberté des relations financières avec l'étranger, pourront être apportées par décret pris en conseil des ministres par le Président de la République; que, le décret n° 95-777 du 18 septembre 1995 prohibant, sauf autorisation du Ministre Chargé des Finances, les importations et exportations de moyens de paiement, est postérieur aux faits poursuivis constatés le 31 mars 1995 et que, dès lors, son application est exclue;</w:t>
      </w:r>
      <w:r w:rsidRPr="0034540D">
        <w:rPr>
          <w:rFonts w:ascii="Times New Roman" w:eastAsia="Times New Roman" w:hAnsi="Times New Roman" w:cs="Times New Roman"/>
          <w:i/>
          <w:color w:val="212529"/>
          <w:sz w:val="24"/>
          <w:szCs w:val="24"/>
          <w:lang w:eastAsia="fr-FR"/>
        </w:rPr>
        <w:br/>
        <w:t>D'où il suit que le moyen ne peut être accueilli »</w:t>
      </w:r>
    </w:p>
    <w:p w:rsidR="00DA2AE2" w:rsidRPr="0034540D" w:rsidRDefault="00DA2AE2" w:rsidP="001E5084">
      <w:pPr>
        <w:pStyle w:val="Paragraphedeliste"/>
        <w:numPr>
          <w:ilvl w:val="0"/>
          <w:numId w:val="5"/>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color w:val="FF0000"/>
          <w:sz w:val="24"/>
          <w:szCs w:val="24"/>
        </w:rPr>
      </w:pPr>
      <w:r w:rsidRPr="0034540D">
        <w:rPr>
          <w:rFonts w:ascii="Times New Roman" w:hAnsi="Times New Roman" w:cs="Times New Roman"/>
          <w:b/>
          <w:sz w:val="24"/>
          <w:szCs w:val="24"/>
        </w:rPr>
        <w:lastRenderedPageBreak/>
        <w:t xml:space="preserve">l’ouverture, le fonctionnement et la clôture de  compte d’attente ou dossier pour les non résidents : </w:t>
      </w:r>
      <w:r w:rsidRPr="0034540D">
        <w:rPr>
          <w:rFonts w:ascii="Times New Roman" w:hAnsi="Times New Roman" w:cs="Times New Roman"/>
          <w:sz w:val="24"/>
          <w:szCs w:val="24"/>
        </w:rPr>
        <w:t>il est prévu à l’article du règlement la possibilité pour les intermédiaires agrées d’ouvrir des comptes d’attente et  des dossiers d’attente  aux non résidents</w:t>
      </w:r>
      <w:r w:rsidR="00AC22AD" w:rsidRPr="0034540D">
        <w:rPr>
          <w:rFonts w:ascii="Times New Roman" w:hAnsi="Times New Roman" w:cs="Times New Roman"/>
          <w:sz w:val="24"/>
          <w:szCs w:val="24"/>
        </w:rPr>
        <w:t xml:space="preserve"> pour une durée qui ne peut excé</w:t>
      </w:r>
      <w:r w:rsidRPr="0034540D">
        <w:rPr>
          <w:rFonts w:ascii="Times New Roman" w:hAnsi="Times New Roman" w:cs="Times New Roman"/>
          <w:sz w:val="24"/>
          <w:szCs w:val="24"/>
        </w:rPr>
        <w:t xml:space="preserve">der un (1) mois </w:t>
      </w:r>
      <w:r w:rsidRPr="0034540D">
        <w:rPr>
          <w:rFonts w:ascii="Times New Roman" w:hAnsi="Times New Roman" w:cs="Times New Roman"/>
          <w:color w:val="FF0000"/>
          <w:sz w:val="24"/>
          <w:szCs w:val="24"/>
        </w:rPr>
        <w:t xml:space="preserve">, suivant des conditions et procédures  bien </w:t>
      </w:r>
      <w:r w:rsidR="00AC22AD" w:rsidRPr="0034540D">
        <w:rPr>
          <w:rFonts w:ascii="Times New Roman" w:hAnsi="Times New Roman" w:cs="Times New Roman"/>
          <w:color w:val="FF0000"/>
          <w:sz w:val="24"/>
          <w:szCs w:val="24"/>
        </w:rPr>
        <w:t>définies</w:t>
      </w:r>
      <w:r w:rsidRPr="0034540D">
        <w:rPr>
          <w:rFonts w:ascii="Times New Roman" w:hAnsi="Times New Roman" w:cs="Times New Roman"/>
          <w:color w:val="FF0000"/>
          <w:sz w:val="24"/>
          <w:szCs w:val="24"/>
        </w:rPr>
        <w:t>. C’est le cas</w:t>
      </w:r>
      <w:r w:rsidRPr="0034540D">
        <w:rPr>
          <w:rFonts w:ascii="Times New Roman" w:hAnsi="Times New Roman" w:cs="Times New Roman"/>
          <w:sz w:val="24"/>
          <w:szCs w:val="24"/>
        </w:rPr>
        <w:t xml:space="preserve"> lorsqu’ils  reçoivent  des sommes ou valeurs mobilières qui ne peuvent être portées ni au crédit  d’un compte étranger ni dans un dossier étranger notamment en cas d’absence de délégation à cet effet, de refus de la Directi</w:t>
      </w:r>
      <w:r w:rsidR="00AC22AD" w:rsidRPr="0034540D">
        <w:rPr>
          <w:rFonts w:ascii="Times New Roman" w:hAnsi="Times New Roman" w:cs="Times New Roman"/>
          <w:sz w:val="24"/>
          <w:szCs w:val="24"/>
        </w:rPr>
        <w:t xml:space="preserve">on chargée des Finances extérieures </w:t>
      </w:r>
      <w:r w:rsidRPr="0034540D">
        <w:rPr>
          <w:rFonts w:ascii="Times New Roman" w:hAnsi="Times New Roman" w:cs="Times New Roman"/>
          <w:sz w:val="24"/>
          <w:szCs w:val="24"/>
        </w:rPr>
        <w:t xml:space="preserve"> ou la BCAEO  de son accord préalable, ou si le résident a acquis la qualité de non résident. Cependant, à l’expiration de ce délai, les sommes ou les valeurs doivent être retournées à </w:t>
      </w:r>
      <w:r w:rsidR="00AC22AD" w:rsidRPr="0034540D">
        <w:rPr>
          <w:rFonts w:ascii="Times New Roman" w:hAnsi="Times New Roman" w:cs="Times New Roman"/>
          <w:sz w:val="24"/>
          <w:szCs w:val="24"/>
        </w:rPr>
        <w:t xml:space="preserve">l’expéditeur </w:t>
      </w:r>
      <w:r w:rsidRPr="0034540D">
        <w:rPr>
          <w:rFonts w:ascii="Times New Roman" w:hAnsi="Times New Roman" w:cs="Times New Roman"/>
          <w:sz w:val="24"/>
          <w:szCs w:val="24"/>
        </w:rPr>
        <w:t xml:space="preserve"> ou au </w:t>
      </w:r>
      <w:r w:rsidR="00AC22AD" w:rsidRPr="0034540D">
        <w:rPr>
          <w:rFonts w:ascii="Times New Roman" w:hAnsi="Times New Roman" w:cs="Times New Roman"/>
          <w:sz w:val="24"/>
          <w:szCs w:val="24"/>
        </w:rPr>
        <w:t>déposant</w:t>
      </w:r>
      <w:r w:rsidRPr="0034540D">
        <w:rPr>
          <w:rFonts w:ascii="Times New Roman" w:hAnsi="Times New Roman" w:cs="Times New Roman"/>
          <w:sz w:val="24"/>
          <w:szCs w:val="24"/>
        </w:rPr>
        <w:t xml:space="preserve"> sous réserve toutefois des disposition</w:t>
      </w:r>
      <w:r w:rsidR="00AC22AD" w:rsidRPr="0034540D">
        <w:rPr>
          <w:rFonts w:ascii="Times New Roman" w:hAnsi="Times New Roman" w:cs="Times New Roman"/>
          <w:sz w:val="24"/>
          <w:szCs w:val="24"/>
        </w:rPr>
        <w:t>s</w:t>
      </w:r>
      <w:r w:rsidRPr="0034540D">
        <w:rPr>
          <w:rFonts w:ascii="Times New Roman" w:hAnsi="Times New Roman" w:cs="Times New Roman"/>
          <w:sz w:val="24"/>
          <w:szCs w:val="24"/>
        </w:rPr>
        <w:t xml:space="preserve"> en matière de lutte contre</w:t>
      </w:r>
      <w:r w:rsidR="00AC22AD"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le </w:t>
      </w:r>
      <w:r w:rsidR="00AC22AD" w:rsidRPr="0034540D">
        <w:rPr>
          <w:rFonts w:ascii="Times New Roman" w:hAnsi="Times New Roman" w:cs="Times New Roman"/>
          <w:sz w:val="24"/>
          <w:szCs w:val="24"/>
        </w:rPr>
        <w:t>blanchiment</w:t>
      </w:r>
      <w:r w:rsidRPr="0034540D">
        <w:rPr>
          <w:rFonts w:ascii="Times New Roman" w:hAnsi="Times New Roman" w:cs="Times New Roman"/>
          <w:sz w:val="24"/>
          <w:szCs w:val="24"/>
        </w:rPr>
        <w:t xml:space="preserve"> de capitaux et lutte cote le financement du terro</w:t>
      </w:r>
      <w:r w:rsidR="00AC22AD" w:rsidRPr="0034540D">
        <w:rPr>
          <w:rFonts w:ascii="Times New Roman" w:hAnsi="Times New Roman" w:cs="Times New Roman"/>
          <w:sz w:val="24"/>
          <w:szCs w:val="24"/>
        </w:rPr>
        <w:t>ri</w:t>
      </w:r>
      <w:r w:rsidRPr="0034540D">
        <w:rPr>
          <w:rFonts w:ascii="Times New Roman" w:hAnsi="Times New Roman" w:cs="Times New Roman"/>
          <w:sz w:val="24"/>
          <w:szCs w:val="24"/>
        </w:rPr>
        <w:t xml:space="preserve">sme.   A défaut de les retourner, elles sont </w:t>
      </w:r>
      <w:r w:rsidR="00AC22AD" w:rsidRPr="0034540D">
        <w:rPr>
          <w:rFonts w:ascii="Times New Roman" w:hAnsi="Times New Roman" w:cs="Times New Roman"/>
          <w:sz w:val="24"/>
          <w:szCs w:val="24"/>
        </w:rPr>
        <w:t>déclarées</w:t>
      </w:r>
      <w:r w:rsidRPr="0034540D">
        <w:rPr>
          <w:rFonts w:ascii="Times New Roman" w:hAnsi="Times New Roman" w:cs="Times New Roman"/>
          <w:sz w:val="24"/>
          <w:szCs w:val="24"/>
        </w:rPr>
        <w:t xml:space="preserve"> à la BCEAO pour suite à</w:t>
      </w:r>
      <w:r w:rsidR="00AC22AD"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donner.  </w:t>
      </w:r>
    </w:p>
    <w:p w:rsidR="00DA2AE2" w:rsidRPr="0034540D" w:rsidRDefault="00DA2AE2" w:rsidP="001E5084">
      <w:pPr>
        <w:pStyle w:val="Paragraphedeliste"/>
        <w:numPr>
          <w:ilvl w:val="0"/>
          <w:numId w:val="5"/>
        </w:numPr>
        <w:tabs>
          <w:tab w:val="left" w:pos="142"/>
          <w:tab w:val="left" w:pos="567"/>
          <w:tab w:val="left" w:pos="709"/>
        </w:tabs>
        <w:autoSpaceDE w:val="0"/>
        <w:autoSpaceDN w:val="0"/>
        <w:adjustRightInd w:val="0"/>
        <w:spacing w:before="100" w:beforeAutospacing="1" w:after="0" w:afterAutospacing="1" w:line="360" w:lineRule="auto"/>
        <w:ind w:left="0" w:firstLine="0"/>
        <w:jc w:val="both"/>
        <w:rPr>
          <w:rFonts w:ascii="Times New Roman" w:hAnsi="Times New Roman" w:cs="Times New Roman"/>
          <w:sz w:val="24"/>
          <w:szCs w:val="24"/>
        </w:rPr>
      </w:pPr>
      <w:r w:rsidRPr="0034540D">
        <w:rPr>
          <w:rFonts w:ascii="Times New Roman" w:hAnsi="Times New Roman" w:cs="Times New Roman"/>
          <w:b/>
          <w:sz w:val="24"/>
          <w:szCs w:val="24"/>
        </w:rPr>
        <w:t xml:space="preserve">le </w:t>
      </w:r>
      <w:r w:rsidRPr="0034540D">
        <w:rPr>
          <w:rFonts w:ascii="Times New Roman" w:eastAsia="Times New Roman" w:hAnsi="Times New Roman" w:cs="Times New Roman"/>
          <w:b/>
          <w:color w:val="222222"/>
          <w:sz w:val="24"/>
          <w:szCs w:val="24"/>
          <w:lang w:eastAsia="fr-FR"/>
        </w:rPr>
        <w:t>Préfinancement des exportations de marchandises</w:t>
      </w:r>
      <w:r w:rsidRPr="0034540D">
        <w:rPr>
          <w:rFonts w:ascii="Times New Roman" w:eastAsia="Times New Roman" w:hAnsi="Times New Roman" w:cs="Times New Roman"/>
          <w:color w:val="222222"/>
          <w:sz w:val="24"/>
          <w:szCs w:val="24"/>
          <w:lang w:eastAsia="fr-FR"/>
        </w:rPr>
        <w:t> : dans son rôle d’interprétation ,la BCEAO, à travers son avis n°002-06-205</w:t>
      </w:r>
      <w:r w:rsidRPr="0034540D">
        <w:rPr>
          <w:rFonts w:ascii="Times New Roman" w:eastAsia="Times New Roman" w:hAnsi="Times New Roman" w:cs="Times New Roman"/>
          <w:color w:val="222222"/>
          <w:sz w:val="24"/>
          <w:szCs w:val="24"/>
          <w:lang w:eastAsia="fr-FR"/>
        </w:rPr>
        <w:tab/>
        <w:t xml:space="preserve"> du 1</w:t>
      </w:r>
      <w:r w:rsidRPr="0034540D">
        <w:rPr>
          <w:rFonts w:ascii="Times New Roman" w:eastAsia="Times New Roman" w:hAnsi="Times New Roman" w:cs="Times New Roman"/>
          <w:color w:val="222222"/>
          <w:sz w:val="24"/>
          <w:szCs w:val="24"/>
          <w:vertAlign w:val="superscript"/>
          <w:lang w:eastAsia="fr-FR"/>
        </w:rPr>
        <w:t>er</w:t>
      </w:r>
      <w:r w:rsidRPr="0034540D">
        <w:rPr>
          <w:rFonts w:ascii="Times New Roman" w:eastAsia="Times New Roman" w:hAnsi="Times New Roman" w:cs="Times New Roman"/>
          <w:color w:val="222222"/>
          <w:sz w:val="24"/>
          <w:szCs w:val="24"/>
          <w:lang w:eastAsia="fr-FR"/>
        </w:rPr>
        <w:t xml:space="preserve"> juin 2015  a tenu à p</w:t>
      </w:r>
      <w:r w:rsidRPr="0034540D">
        <w:rPr>
          <w:rFonts w:ascii="Times New Roman" w:hAnsi="Times New Roman" w:cs="Times New Roman"/>
          <w:sz w:val="24"/>
          <w:szCs w:val="24"/>
        </w:rPr>
        <w:t xml:space="preserve">réciser que, tout encaissement anticipé de recettes auprès d’un non-résident en contrepartie d’une livraison future de marchandises est considéré comme un préfinancement de ventes extérieures. C’est ainsi qu’il est fait obligation aux operateurs économique de déclarer auprès des intermédiaires agrées tout contrat dont le règlement partiel ou intégral  intervient avant la livraison des marchandises un mois à compter de la date de signature de tout contrat de vente. </w:t>
      </w:r>
    </w:p>
    <w:p w:rsidR="00424914" w:rsidRPr="0034540D" w:rsidRDefault="00AC22AD" w:rsidP="001E5084">
      <w:pPr>
        <w:pStyle w:val="Paragraphedeliste"/>
        <w:numPr>
          <w:ilvl w:val="0"/>
          <w:numId w:val="5"/>
        </w:numPr>
        <w:tabs>
          <w:tab w:val="left" w:pos="142"/>
          <w:tab w:val="left" w:pos="567"/>
          <w:tab w:val="left" w:pos="709"/>
        </w:tabs>
        <w:autoSpaceDE w:val="0"/>
        <w:autoSpaceDN w:val="0"/>
        <w:adjustRightInd w:val="0"/>
        <w:spacing w:before="100" w:beforeAutospacing="1" w:after="0" w:afterAutospacing="1" w:line="360" w:lineRule="auto"/>
        <w:ind w:left="0" w:firstLine="0"/>
        <w:jc w:val="both"/>
        <w:rPr>
          <w:rFonts w:ascii="Times New Roman" w:hAnsi="Times New Roman" w:cs="Times New Roman"/>
          <w:sz w:val="24"/>
          <w:szCs w:val="24"/>
        </w:rPr>
      </w:pPr>
      <w:r w:rsidRPr="0034540D">
        <w:rPr>
          <w:rFonts w:ascii="Times New Roman" w:hAnsi="Times New Roman" w:cs="Times New Roman"/>
          <w:b/>
          <w:sz w:val="24"/>
          <w:szCs w:val="24"/>
        </w:rPr>
        <w:t>----------------</w:t>
      </w:r>
    </w:p>
    <w:p w:rsidR="00DA2AE2" w:rsidRPr="0034540D" w:rsidRDefault="00424914" w:rsidP="001E5084">
      <w:pPr>
        <w:pStyle w:val="Paragraphedeliste"/>
        <w:tabs>
          <w:tab w:val="left" w:pos="142"/>
          <w:tab w:val="left" w:pos="567"/>
          <w:tab w:val="left" w:pos="709"/>
        </w:tabs>
        <w:autoSpaceDE w:val="0"/>
        <w:autoSpaceDN w:val="0"/>
        <w:adjustRightInd w:val="0"/>
        <w:spacing w:before="100" w:beforeAutospacing="1" w:after="0" w:afterAutospacing="1" w:line="360" w:lineRule="auto"/>
        <w:ind w:left="0"/>
        <w:jc w:val="both"/>
        <w:rPr>
          <w:rFonts w:ascii="Times New Roman" w:hAnsi="Times New Roman" w:cs="Times New Roman"/>
          <w:sz w:val="24"/>
          <w:szCs w:val="24"/>
        </w:rPr>
      </w:pPr>
      <w:r w:rsidRPr="0034540D">
        <w:rPr>
          <w:rFonts w:ascii="Times New Roman" w:hAnsi="Times New Roman" w:cs="Times New Roman"/>
          <w:b/>
          <w:sz w:val="24"/>
          <w:szCs w:val="24"/>
        </w:rPr>
        <w:t>Section II :</w:t>
      </w:r>
      <w:r w:rsidRPr="0034540D">
        <w:rPr>
          <w:rFonts w:ascii="Times New Roman" w:hAnsi="Times New Roman" w:cs="Times New Roman"/>
          <w:sz w:val="24"/>
          <w:szCs w:val="24"/>
        </w:rPr>
        <w:t xml:space="preserve"> </w:t>
      </w:r>
      <w:r w:rsidR="00DA2AE2" w:rsidRPr="0034540D">
        <w:rPr>
          <w:rFonts w:ascii="Times New Roman" w:hAnsi="Times New Roman" w:cs="Times New Roman"/>
          <w:b/>
          <w:sz w:val="24"/>
          <w:szCs w:val="24"/>
        </w:rPr>
        <w:t>Inexécution de l’obligation de rapatriement</w:t>
      </w:r>
    </w:p>
    <w:p w:rsidR="00DA2AE2" w:rsidRPr="0034540D" w:rsidRDefault="00DA2AE2" w:rsidP="001E5084">
      <w:pPr>
        <w:pStyle w:val="Paragraphedeliste"/>
        <w:tabs>
          <w:tab w:val="left" w:pos="142"/>
          <w:tab w:val="left" w:pos="567"/>
          <w:tab w:val="left" w:pos="709"/>
        </w:tabs>
        <w:spacing w:after="150" w:line="360" w:lineRule="auto"/>
        <w:ind w:left="0"/>
        <w:jc w:val="both"/>
        <w:rPr>
          <w:rFonts w:ascii="Times New Roman" w:eastAsia="Times New Roman" w:hAnsi="Times New Roman" w:cs="Times New Roman"/>
          <w:color w:val="4F4F4F"/>
          <w:sz w:val="24"/>
          <w:szCs w:val="24"/>
          <w:lang w:eastAsia="fr-FR"/>
        </w:rPr>
      </w:pPr>
      <w:r w:rsidRPr="0034540D">
        <w:rPr>
          <w:rFonts w:ascii="Times New Roman" w:eastAsia="Times New Roman" w:hAnsi="Times New Roman" w:cs="Times New Roman"/>
          <w:color w:val="4F4F4F"/>
          <w:sz w:val="24"/>
          <w:szCs w:val="24"/>
          <w:lang w:eastAsia="fr-FR"/>
        </w:rPr>
        <w:t>Le rapatriement des recettes d’exportation joue un rôle important dans les échanges avec l’extérieur. Il permet</w:t>
      </w:r>
      <w:r w:rsidR="00B77716" w:rsidRPr="0034540D">
        <w:rPr>
          <w:rFonts w:ascii="Times New Roman" w:eastAsia="Times New Roman" w:hAnsi="Times New Roman" w:cs="Times New Roman"/>
          <w:color w:val="4F4F4F"/>
          <w:sz w:val="24"/>
          <w:szCs w:val="24"/>
          <w:lang w:eastAsia="fr-FR"/>
        </w:rPr>
        <w:t xml:space="preserve"> </w:t>
      </w:r>
      <w:r w:rsidRPr="0034540D">
        <w:rPr>
          <w:rFonts w:ascii="Times New Roman" w:eastAsia="Times New Roman" w:hAnsi="Times New Roman" w:cs="Times New Roman"/>
          <w:color w:val="4F4F4F"/>
          <w:sz w:val="24"/>
          <w:szCs w:val="24"/>
          <w:lang w:eastAsia="fr-FR"/>
        </w:rPr>
        <w:t>d’alimenter les réserves de change de</w:t>
      </w:r>
      <w:r w:rsidR="00B77716" w:rsidRPr="0034540D">
        <w:rPr>
          <w:rFonts w:ascii="Times New Roman" w:eastAsia="Times New Roman" w:hAnsi="Times New Roman" w:cs="Times New Roman"/>
          <w:color w:val="4F4F4F"/>
          <w:sz w:val="24"/>
          <w:szCs w:val="24"/>
          <w:lang w:eastAsia="fr-FR"/>
        </w:rPr>
        <w:t xml:space="preserve">s  banques centrales et, dans la cadre de l’UEMOA,  celles de la   </w:t>
      </w:r>
      <w:r w:rsidRPr="0034540D">
        <w:rPr>
          <w:rFonts w:ascii="Times New Roman" w:eastAsia="Times New Roman" w:hAnsi="Times New Roman" w:cs="Times New Roman"/>
          <w:color w:val="4F4F4F"/>
          <w:sz w:val="24"/>
          <w:szCs w:val="24"/>
          <w:lang w:eastAsia="fr-FR"/>
        </w:rPr>
        <w:t>BCEAO. Les réserves de change sont ind</w:t>
      </w:r>
      <w:r w:rsidR="00B77716" w:rsidRPr="0034540D">
        <w:rPr>
          <w:rFonts w:ascii="Times New Roman" w:eastAsia="Times New Roman" w:hAnsi="Times New Roman" w:cs="Times New Roman"/>
          <w:color w:val="4F4F4F"/>
          <w:sz w:val="24"/>
          <w:szCs w:val="24"/>
          <w:lang w:eastAsia="fr-FR"/>
        </w:rPr>
        <w:t xml:space="preserve">ispensables à un État car elles </w:t>
      </w:r>
      <w:r w:rsidRPr="0034540D">
        <w:rPr>
          <w:rFonts w:ascii="Times New Roman" w:eastAsia="Times New Roman" w:hAnsi="Times New Roman" w:cs="Times New Roman"/>
          <w:color w:val="4F4F4F"/>
          <w:sz w:val="24"/>
          <w:szCs w:val="24"/>
          <w:lang w:eastAsia="fr-FR"/>
        </w:rPr>
        <w:t>permettent d’honorer ses engagements avec l’extérieur, notamment, assurer le règlement des factures d’importation, le service de la dette extérieure et le paiement des dividendes. Le Règlement 09/2010/CM/UEMOA</w:t>
      </w:r>
      <w:r w:rsidR="00424914" w:rsidRPr="0034540D">
        <w:rPr>
          <w:rFonts w:ascii="Times New Roman" w:eastAsia="Times New Roman" w:hAnsi="Times New Roman" w:cs="Times New Roman"/>
          <w:color w:val="4F4F4F"/>
          <w:sz w:val="24"/>
          <w:szCs w:val="24"/>
          <w:lang w:eastAsia="fr-FR"/>
        </w:rPr>
        <w:t xml:space="preserve"> du 1</w:t>
      </w:r>
      <w:r w:rsidR="00424914" w:rsidRPr="0034540D">
        <w:rPr>
          <w:rFonts w:ascii="Times New Roman" w:eastAsia="Times New Roman" w:hAnsi="Times New Roman" w:cs="Times New Roman"/>
          <w:color w:val="4F4F4F"/>
          <w:sz w:val="24"/>
          <w:szCs w:val="24"/>
          <w:vertAlign w:val="superscript"/>
          <w:lang w:eastAsia="fr-FR"/>
        </w:rPr>
        <w:t>er</w:t>
      </w:r>
      <w:r w:rsidR="00424914" w:rsidRPr="0034540D">
        <w:rPr>
          <w:rFonts w:ascii="Times New Roman" w:eastAsia="Times New Roman" w:hAnsi="Times New Roman" w:cs="Times New Roman"/>
          <w:color w:val="4F4F4F"/>
          <w:sz w:val="24"/>
          <w:szCs w:val="24"/>
          <w:lang w:eastAsia="fr-FR"/>
        </w:rPr>
        <w:t xml:space="preserve"> octobre 2010</w:t>
      </w:r>
      <w:r w:rsidR="00424914" w:rsidRPr="0034540D">
        <w:rPr>
          <w:rFonts w:ascii="Times New Roman" w:hAnsi="Times New Roman" w:cs="Times New Roman"/>
          <w:sz w:val="24"/>
          <w:szCs w:val="24"/>
        </w:rPr>
        <w:t xml:space="preserve"> relatif aux relations financières extérieures des Etats membres de l’Union Economique et Monétaire Ouest Africaine (UEMOA)</w:t>
      </w:r>
      <w:r w:rsidRPr="0034540D">
        <w:rPr>
          <w:rFonts w:ascii="Times New Roman" w:eastAsia="Times New Roman" w:hAnsi="Times New Roman" w:cs="Times New Roman"/>
          <w:color w:val="4F4F4F"/>
          <w:sz w:val="24"/>
          <w:szCs w:val="24"/>
          <w:lang w:eastAsia="fr-FR"/>
        </w:rPr>
        <w:t xml:space="preserve">  ainsi que certaines de ses annexes</w:t>
      </w:r>
      <w:r w:rsidR="00B77716" w:rsidRPr="0034540D">
        <w:rPr>
          <w:rFonts w:ascii="Times New Roman" w:eastAsia="Times New Roman" w:hAnsi="Times New Roman" w:cs="Times New Roman"/>
          <w:color w:val="4F4F4F"/>
          <w:sz w:val="24"/>
          <w:szCs w:val="24"/>
          <w:lang w:eastAsia="fr-FR"/>
        </w:rPr>
        <w:t xml:space="preserve"> de même que la loi uniforme</w:t>
      </w:r>
      <w:r w:rsidRPr="0034540D">
        <w:rPr>
          <w:rFonts w:ascii="Times New Roman" w:eastAsia="Times New Roman" w:hAnsi="Times New Roman" w:cs="Times New Roman"/>
          <w:color w:val="4F4F4F"/>
          <w:sz w:val="24"/>
          <w:szCs w:val="24"/>
          <w:lang w:eastAsia="fr-FR"/>
        </w:rPr>
        <w:t xml:space="preserve"> ont prévu  l’obligation de rapatrier le produit des recettes provenant des exportations.</w:t>
      </w:r>
      <w:r w:rsidR="00B77716" w:rsidRPr="0034540D">
        <w:rPr>
          <w:rFonts w:ascii="Times New Roman" w:eastAsia="Times New Roman" w:hAnsi="Times New Roman" w:cs="Times New Roman"/>
          <w:color w:val="4F4F4F"/>
          <w:sz w:val="24"/>
          <w:szCs w:val="24"/>
          <w:lang w:eastAsia="fr-FR"/>
        </w:rPr>
        <w:t xml:space="preserve"> L’inexécution de cette obligation </w:t>
      </w:r>
      <w:r w:rsidR="00D53C06" w:rsidRPr="0034540D">
        <w:rPr>
          <w:rFonts w:ascii="Times New Roman" w:eastAsia="Times New Roman" w:hAnsi="Times New Roman" w:cs="Times New Roman"/>
          <w:color w:val="4F4F4F"/>
          <w:sz w:val="24"/>
          <w:szCs w:val="24"/>
          <w:lang w:eastAsia="fr-FR"/>
        </w:rPr>
        <w:t xml:space="preserve"> consistant à une violation des règles prévues à cet effet </w:t>
      </w:r>
      <w:r w:rsidR="00B77716" w:rsidRPr="0034540D">
        <w:rPr>
          <w:rFonts w:ascii="Times New Roman" w:eastAsia="Times New Roman" w:hAnsi="Times New Roman" w:cs="Times New Roman"/>
          <w:color w:val="4F4F4F"/>
          <w:sz w:val="24"/>
          <w:szCs w:val="24"/>
          <w:lang w:eastAsia="fr-FR"/>
        </w:rPr>
        <w:t xml:space="preserve">constitue une infraction à la législation  des </w:t>
      </w:r>
      <w:r w:rsidR="00B77716" w:rsidRPr="0034540D">
        <w:rPr>
          <w:rFonts w:ascii="Times New Roman" w:eastAsia="Times New Roman" w:hAnsi="Times New Roman" w:cs="Times New Roman"/>
          <w:color w:val="4F4F4F"/>
          <w:sz w:val="24"/>
          <w:szCs w:val="24"/>
          <w:lang w:eastAsia="fr-FR"/>
        </w:rPr>
        <w:lastRenderedPageBreak/>
        <w:t>changes</w:t>
      </w:r>
      <w:r w:rsidRPr="0034540D">
        <w:rPr>
          <w:rFonts w:ascii="Times New Roman" w:eastAsia="Times New Roman" w:hAnsi="Times New Roman" w:cs="Times New Roman"/>
          <w:color w:val="4F4F4F"/>
          <w:sz w:val="24"/>
          <w:szCs w:val="24"/>
          <w:lang w:eastAsia="fr-FR"/>
        </w:rPr>
        <w:t xml:space="preserve"> </w:t>
      </w:r>
      <w:r w:rsidR="00B77716" w:rsidRPr="0034540D">
        <w:rPr>
          <w:rFonts w:ascii="Times New Roman" w:eastAsia="Times New Roman" w:hAnsi="Times New Roman" w:cs="Times New Roman"/>
          <w:color w:val="4F4F4F"/>
          <w:sz w:val="24"/>
          <w:szCs w:val="24"/>
          <w:lang w:eastAsia="fr-FR"/>
        </w:rPr>
        <w:t>qui est sévèrement sanctionnée.</w:t>
      </w:r>
      <w:r w:rsidR="009059DB" w:rsidRPr="0034540D">
        <w:rPr>
          <w:rFonts w:ascii="Times New Roman" w:eastAsia="Times New Roman" w:hAnsi="Times New Roman" w:cs="Times New Roman"/>
          <w:color w:val="4F4F4F"/>
          <w:sz w:val="24"/>
          <w:szCs w:val="24"/>
          <w:lang w:eastAsia="fr-FR"/>
        </w:rPr>
        <w:t xml:space="preserve">  Ainsi, p</w:t>
      </w:r>
      <w:r w:rsidRPr="0034540D">
        <w:rPr>
          <w:rFonts w:ascii="Times New Roman" w:eastAsia="Times New Roman" w:hAnsi="Times New Roman" w:cs="Times New Roman"/>
          <w:color w:val="4F4F4F"/>
          <w:sz w:val="24"/>
          <w:szCs w:val="24"/>
          <w:lang w:eastAsia="fr-FR"/>
        </w:rPr>
        <w:t>our  assurer l’efficacité du dispositif global du rapatriement des recettes du produit d’exportation</w:t>
      </w:r>
      <w:r w:rsidR="009059DB" w:rsidRPr="0034540D">
        <w:rPr>
          <w:rFonts w:ascii="Times New Roman" w:eastAsia="Times New Roman" w:hAnsi="Times New Roman" w:cs="Times New Roman"/>
          <w:color w:val="4F4F4F"/>
          <w:sz w:val="24"/>
          <w:szCs w:val="24"/>
          <w:lang w:eastAsia="fr-FR"/>
        </w:rPr>
        <w:t xml:space="preserve"> et renforcer la sanction</w:t>
      </w:r>
      <w:r w:rsidRPr="0034540D">
        <w:rPr>
          <w:rFonts w:ascii="Times New Roman" w:eastAsia="Times New Roman" w:hAnsi="Times New Roman" w:cs="Times New Roman"/>
          <w:color w:val="4F4F4F"/>
          <w:sz w:val="24"/>
          <w:szCs w:val="24"/>
          <w:lang w:eastAsia="fr-FR"/>
        </w:rPr>
        <w:t>, la loi n°</w:t>
      </w:r>
      <w:r w:rsidRPr="0034540D">
        <w:rPr>
          <w:rFonts w:ascii="Times New Roman" w:hAnsi="Times New Roman" w:cs="Times New Roman"/>
          <w:sz w:val="24"/>
          <w:szCs w:val="24"/>
        </w:rPr>
        <w:t xml:space="preserve">2014-12 du 28 </w:t>
      </w:r>
      <w:r w:rsidRPr="0034540D">
        <w:rPr>
          <w:rFonts w:ascii="Times New Roman" w:hAnsi="Times New Roman" w:cs="Times New Roman"/>
          <w:sz w:val="24"/>
          <w:szCs w:val="24"/>
          <w:highlight w:val="yellow"/>
        </w:rPr>
        <w:t>février</w:t>
      </w:r>
      <w:r w:rsidRPr="0034540D">
        <w:rPr>
          <w:rFonts w:ascii="Times New Roman" w:hAnsi="Times New Roman" w:cs="Times New Roman"/>
          <w:sz w:val="24"/>
          <w:szCs w:val="24"/>
        </w:rPr>
        <w:t xml:space="preserve"> 2014 sur le contentieux  des infractions  à la réglementation  des relations financières avec l’étranger des Etats membres de l’UEMOA</w:t>
      </w:r>
      <w:r w:rsidRPr="0034540D">
        <w:rPr>
          <w:rFonts w:ascii="Times New Roman" w:eastAsia="Times New Roman" w:hAnsi="Times New Roman" w:cs="Times New Roman"/>
          <w:color w:val="4F4F4F"/>
          <w:sz w:val="24"/>
          <w:szCs w:val="24"/>
          <w:lang w:eastAsia="fr-FR"/>
        </w:rPr>
        <w:t xml:space="preserve"> a mis en place un régime spécifique de sanction </w:t>
      </w:r>
      <w:r w:rsidR="009059DB" w:rsidRPr="0034540D">
        <w:rPr>
          <w:rFonts w:ascii="Times New Roman" w:eastAsia="Times New Roman" w:hAnsi="Times New Roman" w:cs="Times New Roman"/>
          <w:color w:val="4F4F4F"/>
          <w:sz w:val="24"/>
          <w:szCs w:val="24"/>
          <w:lang w:eastAsia="fr-FR"/>
        </w:rPr>
        <w:t>à l’endroit d</w:t>
      </w:r>
      <w:r w:rsidRPr="0034540D">
        <w:rPr>
          <w:rFonts w:ascii="Times New Roman" w:eastAsia="Times New Roman" w:hAnsi="Times New Roman" w:cs="Times New Roman"/>
          <w:color w:val="4F4F4F"/>
          <w:sz w:val="24"/>
          <w:szCs w:val="24"/>
          <w:lang w:eastAsia="fr-FR"/>
        </w:rPr>
        <w:t>es personnes physiques et celles morales autres que les établissements de crédit</w:t>
      </w:r>
      <w:r w:rsidR="009059DB" w:rsidRPr="0034540D">
        <w:rPr>
          <w:rFonts w:ascii="Times New Roman" w:eastAsia="Times New Roman" w:hAnsi="Times New Roman" w:cs="Times New Roman"/>
          <w:color w:val="4F4F4F"/>
          <w:sz w:val="24"/>
          <w:szCs w:val="24"/>
          <w:lang w:eastAsia="fr-FR"/>
        </w:rPr>
        <w:t xml:space="preserve"> en cas de violation de ce</w:t>
      </w:r>
      <w:r w:rsidR="00424914" w:rsidRPr="0034540D">
        <w:rPr>
          <w:rFonts w:ascii="Times New Roman" w:eastAsia="Times New Roman" w:hAnsi="Times New Roman" w:cs="Times New Roman"/>
          <w:color w:val="4F4F4F"/>
          <w:sz w:val="24"/>
          <w:szCs w:val="24"/>
          <w:lang w:eastAsia="fr-FR"/>
        </w:rPr>
        <w:t>tte obligation</w:t>
      </w:r>
      <w:r w:rsidR="009059DB" w:rsidRPr="0034540D">
        <w:rPr>
          <w:rFonts w:ascii="Times New Roman" w:eastAsia="Times New Roman" w:hAnsi="Times New Roman" w:cs="Times New Roman"/>
          <w:color w:val="4F4F4F"/>
          <w:sz w:val="24"/>
          <w:szCs w:val="24"/>
          <w:lang w:eastAsia="fr-FR"/>
        </w:rPr>
        <w:t>. Ces derniers sont, quant à eux, soumis</w:t>
      </w:r>
      <w:r w:rsidRPr="0034540D">
        <w:rPr>
          <w:rFonts w:ascii="Times New Roman" w:eastAsia="Times New Roman" w:hAnsi="Times New Roman" w:cs="Times New Roman"/>
          <w:color w:val="4F4F4F"/>
          <w:sz w:val="24"/>
          <w:szCs w:val="24"/>
          <w:lang w:eastAsia="fr-FR"/>
        </w:rPr>
        <w:t xml:space="preserve"> à la réglementation  bancaire</w:t>
      </w:r>
      <w:r w:rsidR="009059DB" w:rsidRPr="0034540D">
        <w:rPr>
          <w:rFonts w:ascii="Times New Roman" w:eastAsia="Times New Roman" w:hAnsi="Times New Roman" w:cs="Times New Roman"/>
          <w:color w:val="4F4F4F"/>
          <w:sz w:val="24"/>
          <w:szCs w:val="24"/>
          <w:lang w:eastAsia="fr-FR"/>
        </w:rPr>
        <w:t xml:space="preserve"> relativement aux </w:t>
      </w:r>
      <w:r w:rsidRPr="0034540D">
        <w:rPr>
          <w:rFonts w:ascii="Times New Roman" w:eastAsia="Times New Roman" w:hAnsi="Times New Roman" w:cs="Times New Roman"/>
          <w:color w:val="4F4F4F"/>
          <w:sz w:val="24"/>
          <w:szCs w:val="24"/>
          <w:lang w:eastAsia="fr-FR"/>
        </w:rPr>
        <w:t>sanctions</w:t>
      </w:r>
      <w:r w:rsidR="00B2743A" w:rsidRPr="0034540D">
        <w:rPr>
          <w:rFonts w:ascii="Times New Roman" w:eastAsia="Times New Roman" w:hAnsi="Times New Roman" w:cs="Times New Roman"/>
          <w:color w:val="4F4F4F"/>
          <w:sz w:val="24"/>
          <w:szCs w:val="24"/>
          <w:lang w:eastAsia="fr-FR"/>
        </w:rPr>
        <w:t xml:space="preserve"> encourues</w:t>
      </w:r>
      <w:r w:rsidRPr="0034540D">
        <w:rPr>
          <w:rFonts w:ascii="Times New Roman" w:eastAsia="Times New Roman" w:hAnsi="Times New Roman" w:cs="Times New Roman"/>
          <w:color w:val="4F4F4F"/>
          <w:sz w:val="24"/>
          <w:szCs w:val="24"/>
          <w:lang w:eastAsia="fr-FR"/>
        </w:rPr>
        <w:t xml:space="preserve"> en cas </w:t>
      </w:r>
      <w:r w:rsidR="009059DB" w:rsidRPr="0034540D">
        <w:rPr>
          <w:rFonts w:ascii="Times New Roman" w:eastAsia="Times New Roman" w:hAnsi="Times New Roman" w:cs="Times New Roman"/>
          <w:color w:val="4F4F4F"/>
          <w:sz w:val="24"/>
          <w:szCs w:val="24"/>
          <w:lang w:eastAsia="fr-FR"/>
        </w:rPr>
        <w:t>de non respect par eux de l’</w:t>
      </w:r>
      <w:r w:rsidRPr="0034540D">
        <w:rPr>
          <w:rFonts w:ascii="Times New Roman" w:eastAsia="Times New Roman" w:hAnsi="Times New Roman" w:cs="Times New Roman"/>
          <w:color w:val="4F4F4F"/>
          <w:sz w:val="24"/>
          <w:szCs w:val="24"/>
          <w:lang w:eastAsia="fr-FR"/>
        </w:rPr>
        <w:t>obligation</w:t>
      </w:r>
      <w:r w:rsidR="009059DB" w:rsidRPr="0034540D">
        <w:rPr>
          <w:rFonts w:ascii="Times New Roman" w:eastAsia="Times New Roman" w:hAnsi="Times New Roman" w:cs="Times New Roman"/>
          <w:color w:val="4F4F4F"/>
          <w:sz w:val="24"/>
          <w:szCs w:val="24"/>
          <w:lang w:eastAsia="fr-FR"/>
        </w:rPr>
        <w:t xml:space="preserve"> de rapatriement</w:t>
      </w:r>
      <w:r w:rsidRPr="0034540D">
        <w:rPr>
          <w:rFonts w:ascii="Times New Roman" w:eastAsia="Times New Roman" w:hAnsi="Times New Roman" w:cs="Times New Roman"/>
          <w:color w:val="4F4F4F"/>
          <w:sz w:val="24"/>
          <w:szCs w:val="24"/>
          <w:lang w:eastAsia="fr-FR"/>
        </w:rPr>
        <w:t xml:space="preserve">.    </w:t>
      </w:r>
    </w:p>
    <w:p w:rsidR="00DA2AE2" w:rsidRPr="0034540D" w:rsidRDefault="00DA2AE2" w:rsidP="001E5084">
      <w:pPr>
        <w:pStyle w:val="Paragraphedeliste"/>
        <w:tabs>
          <w:tab w:val="left" w:pos="142"/>
          <w:tab w:val="left" w:pos="567"/>
          <w:tab w:val="left" w:pos="709"/>
        </w:tabs>
        <w:spacing w:after="150" w:line="360" w:lineRule="auto"/>
        <w:ind w:left="0"/>
        <w:jc w:val="both"/>
        <w:rPr>
          <w:rFonts w:ascii="Times New Roman" w:eastAsia="Times New Roman" w:hAnsi="Times New Roman" w:cs="Times New Roman"/>
          <w:color w:val="4F4F4F"/>
          <w:sz w:val="24"/>
          <w:szCs w:val="24"/>
          <w:lang w:eastAsia="fr-FR"/>
        </w:rPr>
      </w:pPr>
      <w:r w:rsidRPr="0034540D">
        <w:rPr>
          <w:rFonts w:ascii="Times New Roman" w:eastAsia="Times New Roman" w:hAnsi="Times New Roman" w:cs="Times New Roman"/>
          <w:color w:val="4F4F4F"/>
          <w:sz w:val="24"/>
          <w:szCs w:val="24"/>
          <w:lang w:eastAsia="fr-FR"/>
        </w:rPr>
        <w:t>-------</w:t>
      </w:r>
      <w:r w:rsidR="00B2743A" w:rsidRPr="0034540D">
        <w:rPr>
          <w:rFonts w:ascii="Times New Roman" w:eastAsia="Times New Roman" w:hAnsi="Times New Roman" w:cs="Times New Roman"/>
          <w:color w:val="4F4F4F"/>
          <w:sz w:val="24"/>
          <w:szCs w:val="24"/>
          <w:lang w:eastAsia="fr-FR"/>
        </w:rPr>
        <w:t>--------</w:t>
      </w:r>
    </w:p>
    <w:p w:rsidR="00B2743A" w:rsidRPr="0034540D" w:rsidRDefault="00B2743A" w:rsidP="001E5084">
      <w:pPr>
        <w:pStyle w:val="Paragraphedeliste"/>
        <w:tabs>
          <w:tab w:val="left" w:pos="142"/>
          <w:tab w:val="left" w:pos="567"/>
          <w:tab w:val="left" w:pos="709"/>
        </w:tabs>
        <w:spacing w:after="150" w:line="360" w:lineRule="auto"/>
        <w:ind w:left="0"/>
        <w:jc w:val="both"/>
        <w:rPr>
          <w:rFonts w:ascii="Times New Roman" w:eastAsia="Times New Roman" w:hAnsi="Times New Roman" w:cs="Times New Roman"/>
          <w:color w:val="4F4F4F"/>
          <w:sz w:val="24"/>
          <w:szCs w:val="24"/>
          <w:lang w:eastAsia="fr-FR"/>
        </w:rPr>
      </w:pPr>
    </w:p>
    <w:p w:rsidR="00DA2AE2" w:rsidRPr="0034540D" w:rsidRDefault="00DA2AE2" w:rsidP="001E5084">
      <w:pPr>
        <w:pStyle w:val="Paragraphedeliste"/>
        <w:tabs>
          <w:tab w:val="left" w:pos="142"/>
          <w:tab w:val="left" w:pos="567"/>
          <w:tab w:val="left" w:pos="709"/>
        </w:tabs>
        <w:spacing w:after="150" w:line="360" w:lineRule="auto"/>
        <w:ind w:left="0"/>
        <w:jc w:val="both"/>
        <w:rPr>
          <w:rFonts w:ascii="Times New Roman" w:hAnsi="Times New Roman" w:cs="Times New Roman"/>
          <w:b/>
          <w:sz w:val="24"/>
          <w:szCs w:val="24"/>
        </w:rPr>
      </w:pPr>
      <w:r w:rsidRPr="0034540D">
        <w:rPr>
          <w:rFonts w:ascii="Times New Roman" w:hAnsi="Times New Roman" w:cs="Times New Roman"/>
          <w:b/>
          <w:sz w:val="24"/>
          <w:szCs w:val="24"/>
        </w:rPr>
        <w:t>N</w:t>
      </w:r>
      <w:r w:rsidR="00B2743A" w:rsidRPr="0034540D">
        <w:rPr>
          <w:rFonts w:ascii="Times New Roman" w:hAnsi="Times New Roman" w:cs="Times New Roman"/>
          <w:b/>
          <w:sz w:val="24"/>
          <w:szCs w:val="24"/>
        </w:rPr>
        <w:t>ote :</w:t>
      </w:r>
      <w:r w:rsidR="00424914" w:rsidRPr="0034540D">
        <w:rPr>
          <w:rFonts w:ascii="Times New Roman" w:hAnsi="Times New Roman" w:cs="Times New Roman"/>
          <w:b/>
          <w:sz w:val="24"/>
          <w:szCs w:val="24"/>
        </w:rPr>
        <w:t xml:space="preserve"> Rappel de l</w:t>
      </w:r>
      <w:r w:rsidRPr="0034540D">
        <w:rPr>
          <w:rFonts w:ascii="Times New Roman" w:hAnsi="Times New Roman" w:cs="Times New Roman"/>
          <w:b/>
          <w:sz w:val="24"/>
          <w:szCs w:val="24"/>
        </w:rPr>
        <w:t xml:space="preserve">’obligation de rapatriement </w:t>
      </w:r>
      <w:r w:rsidRPr="0034540D">
        <w:rPr>
          <w:rFonts w:ascii="Times New Roman" w:hAnsi="Times New Roman" w:cs="Times New Roman"/>
          <w:sz w:val="24"/>
          <w:szCs w:val="24"/>
        </w:rPr>
        <w:t>prévue par  diverses  dispositions communautaires relatives aux relations financières extérieures de l’Union et dont la violation constitue des infractions à la législation  des changes :</w:t>
      </w:r>
    </w:p>
    <w:p w:rsidR="00DA2AE2" w:rsidRPr="0034540D" w:rsidRDefault="00DA2AE2" w:rsidP="001E5084">
      <w:pPr>
        <w:pStyle w:val="Paragraphedeliste"/>
        <w:numPr>
          <w:ilvl w:val="0"/>
          <w:numId w:val="2"/>
        </w:numPr>
        <w:tabs>
          <w:tab w:val="left" w:pos="142"/>
          <w:tab w:val="left" w:pos="567"/>
          <w:tab w:val="left" w:pos="709"/>
        </w:tabs>
        <w:spacing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En matière d’investissement :</w:t>
      </w:r>
      <w:r w:rsidRPr="0034540D">
        <w:rPr>
          <w:rFonts w:ascii="Times New Roman" w:eastAsia="Times New Roman" w:hAnsi="Times New Roman" w:cs="Times New Roman"/>
          <w:color w:val="BBBBBB"/>
          <w:sz w:val="24"/>
          <w:szCs w:val="24"/>
          <w:lang w:eastAsia="fr-FR"/>
        </w:rPr>
        <w:t xml:space="preserve"> </w:t>
      </w:r>
      <w:r w:rsidRPr="0034540D">
        <w:rPr>
          <w:rFonts w:ascii="Times New Roman" w:eastAsia="Times New Roman" w:hAnsi="Times New Roman" w:cs="Times New Roman"/>
          <w:color w:val="353535"/>
          <w:sz w:val="24"/>
          <w:szCs w:val="24"/>
          <w:lang w:eastAsia="fr-FR"/>
        </w:rPr>
        <w:t>Un investissement en territoire étranger engendre généralement un flux de ressources en retour, qualifié de « transfert ». Au sein de l’UEMO</w:t>
      </w:r>
      <w:r w:rsidR="00B2743A" w:rsidRPr="0034540D">
        <w:rPr>
          <w:rFonts w:ascii="Times New Roman" w:eastAsia="Times New Roman" w:hAnsi="Times New Roman" w:cs="Times New Roman"/>
          <w:color w:val="353535"/>
          <w:sz w:val="24"/>
          <w:szCs w:val="24"/>
          <w:lang w:eastAsia="fr-FR"/>
        </w:rPr>
        <w:t>A</w:t>
      </w:r>
      <w:r w:rsidRPr="0034540D">
        <w:rPr>
          <w:rFonts w:ascii="Times New Roman" w:eastAsia="Times New Roman" w:hAnsi="Times New Roman" w:cs="Times New Roman"/>
          <w:color w:val="353535"/>
          <w:sz w:val="24"/>
          <w:szCs w:val="24"/>
          <w:lang w:eastAsia="fr-FR"/>
        </w:rPr>
        <w:t>, les investissements à l’étranger des résidents ne sont pas libres puisque  sont soumis à autorisation préalable du Ministre chargé des Finances et sont cantonnés à des opérations bien précises. Au cas où autorisation aurait été donné</w:t>
      </w:r>
      <w:r w:rsidR="00B2743A" w:rsidRPr="0034540D">
        <w:rPr>
          <w:rFonts w:ascii="Times New Roman" w:eastAsia="Times New Roman" w:hAnsi="Times New Roman" w:cs="Times New Roman"/>
          <w:color w:val="353535"/>
          <w:sz w:val="24"/>
          <w:szCs w:val="24"/>
          <w:lang w:eastAsia="fr-FR"/>
        </w:rPr>
        <w:t>e</w:t>
      </w:r>
      <w:r w:rsidRPr="0034540D">
        <w:rPr>
          <w:rFonts w:ascii="Times New Roman" w:eastAsia="Times New Roman" w:hAnsi="Times New Roman" w:cs="Times New Roman"/>
          <w:color w:val="353535"/>
          <w:sz w:val="24"/>
          <w:szCs w:val="24"/>
          <w:lang w:eastAsia="fr-FR"/>
        </w:rPr>
        <w:t xml:space="preserve"> d’investir à l’étranger, le réinvestissement  du produit de la liquidation de celui-ci  est aussi soumis à  l’autorisation préalable du Ministre chargé des Finances.  A défaut d’autorisation pour le réinvestissement à l’étranger, le produit de la liquidation doit être rapatriement</w:t>
      </w:r>
      <w:r w:rsidRPr="0034540D">
        <w:rPr>
          <w:rStyle w:val="Appelnotedebasdep"/>
          <w:rFonts w:ascii="Times New Roman" w:eastAsia="Times New Roman" w:hAnsi="Times New Roman" w:cs="Times New Roman"/>
          <w:color w:val="353535"/>
          <w:sz w:val="24"/>
          <w:szCs w:val="24"/>
          <w:lang w:eastAsia="fr-FR"/>
        </w:rPr>
        <w:footnoteReference w:id="15"/>
      </w:r>
      <w:r w:rsidRPr="0034540D">
        <w:rPr>
          <w:rFonts w:ascii="Times New Roman" w:eastAsia="Times New Roman" w:hAnsi="Times New Roman" w:cs="Times New Roman"/>
          <w:color w:val="353535"/>
          <w:sz w:val="24"/>
          <w:szCs w:val="24"/>
          <w:lang w:eastAsia="fr-FR"/>
        </w:rPr>
        <w:t xml:space="preserve"> dans le pays d’origine dans un délai d’un (1) mois par le biais cependant d’un intermédiaire  agrée. </w:t>
      </w:r>
    </w:p>
    <w:p w:rsidR="001E4E06" w:rsidRPr="0034540D" w:rsidRDefault="00DA2AE2" w:rsidP="001E5084">
      <w:pPr>
        <w:pStyle w:val="Paragraphedeliste"/>
        <w:numPr>
          <w:ilvl w:val="0"/>
          <w:numId w:val="2"/>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i/>
          <w:sz w:val="24"/>
          <w:szCs w:val="24"/>
        </w:rPr>
      </w:pPr>
      <w:r w:rsidRPr="0034540D">
        <w:rPr>
          <w:rFonts w:ascii="Times New Roman" w:hAnsi="Times New Roman" w:cs="Times New Roman"/>
          <w:b/>
          <w:sz w:val="24"/>
          <w:szCs w:val="24"/>
        </w:rPr>
        <w:t xml:space="preserve">En matière d’exportation : </w:t>
      </w:r>
      <w:r w:rsidRPr="0034540D">
        <w:rPr>
          <w:rFonts w:ascii="Times New Roman" w:eastAsia="Times New Roman" w:hAnsi="Times New Roman" w:cs="Times New Roman"/>
          <w:color w:val="4F4F4F"/>
          <w:sz w:val="24"/>
          <w:szCs w:val="24"/>
          <w:lang w:eastAsia="fr-FR"/>
        </w:rPr>
        <w:t xml:space="preserve">Le rapatriement du produit des recettes d’exportation joue un rôle important dans les échanges d’un Etat avec l’extérieur car lui permet d’alimenter ses réserves de change. Ceux-ci étant indispensables pour l’État puisqu’il lui permet d’honorer ses engagements avec l’extérieur, notamment en assurant le règlement des factures d’importation, le service de la dette extérieure et le </w:t>
      </w:r>
      <w:r w:rsidRPr="0034540D">
        <w:rPr>
          <w:rFonts w:ascii="Times New Roman" w:eastAsia="Times New Roman" w:hAnsi="Times New Roman" w:cs="Times New Roman"/>
          <w:color w:val="4F4F4F"/>
          <w:sz w:val="24"/>
          <w:szCs w:val="24"/>
          <w:lang w:eastAsia="fr-FR"/>
        </w:rPr>
        <w:lastRenderedPageBreak/>
        <w:t>paiement des dividendes. C’est ai</w:t>
      </w:r>
      <w:r w:rsidR="0097646D" w:rsidRPr="0034540D">
        <w:rPr>
          <w:rFonts w:ascii="Times New Roman" w:eastAsia="Times New Roman" w:hAnsi="Times New Roman" w:cs="Times New Roman"/>
          <w:color w:val="4F4F4F"/>
          <w:sz w:val="24"/>
          <w:szCs w:val="24"/>
          <w:lang w:eastAsia="fr-FR"/>
        </w:rPr>
        <w:t>nsi  que dans le cadre de l’UEM</w:t>
      </w:r>
      <w:r w:rsidRPr="0034540D">
        <w:rPr>
          <w:rFonts w:ascii="Times New Roman" w:eastAsia="Times New Roman" w:hAnsi="Times New Roman" w:cs="Times New Roman"/>
          <w:color w:val="4F4F4F"/>
          <w:sz w:val="24"/>
          <w:szCs w:val="24"/>
          <w:lang w:eastAsia="fr-FR"/>
        </w:rPr>
        <w:t>O</w:t>
      </w:r>
      <w:r w:rsidR="0097646D" w:rsidRPr="0034540D">
        <w:rPr>
          <w:rFonts w:ascii="Times New Roman" w:eastAsia="Times New Roman" w:hAnsi="Times New Roman" w:cs="Times New Roman"/>
          <w:color w:val="4F4F4F"/>
          <w:sz w:val="24"/>
          <w:szCs w:val="24"/>
          <w:lang w:eastAsia="fr-FR"/>
        </w:rPr>
        <w:t>A</w:t>
      </w:r>
      <w:r w:rsidRPr="0034540D">
        <w:rPr>
          <w:rFonts w:ascii="Times New Roman" w:eastAsia="Times New Roman" w:hAnsi="Times New Roman" w:cs="Times New Roman"/>
          <w:color w:val="4F4F4F"/>
          <w:sz w:val="24"/>
          <w:szCs w:val="24"/>
          <w:lang w:eastAsia="fr-FR"/>
        </w:rPr>
        <w:t>, l’article 11</w:t>
      </w:r>
      <w:r w:rsidRPr="0034540D">
        <w:rPr>
          <w:rStyle w:val="Appelnotedebasdep"/>
          <w:rFonts w:ascii="Times New Roman" w:eastAsia="Times New Roman" w:hAnsi="Times New Roman" w:cs="Times New Roman"/>
          <w:color w:val="4F4F4F"/>
          <w:sz w:val="24"/>
          <w:szCs w:val="24"/>
          <w:lang w:eastAsia="fr-FR"/>
        </w:rPr>
        <w:footnoteReference w:id="16"/>
      </w:r>
      <w:r w:rsidRPr="0034540D">
        <w:rPr>
          <w:rFonts w:ascii="Times New Roman" w:eastAsia="Times New Roman" w:hAnsi="Times New Roman" w:cs="Times New Roman"/>
          <w:color w:val="4F4F4F"/>
          <w:sz w:val="24"/>
          <w:szCs w:val="24"/>
          <w:lang w:eastAsia="fr-FR"/>
        </w:rPr>
        <w:t xml:space="preserve"> de l’annexe </w:t>
      </w:r>
      <w:r w:rsidRPr="0034540D">
        <w:rPr>
          <w:rFonts w:ascii="Times New Roman" w:hAnsi="Times New Roman" w:cs="Times New Roman"/>
          <w:bCs/>
          <w:sz w:val="24"/>
          <w:szCs w:val="24"/>
        </w:rPr>
        <w:t>II  du règlement 09/2010/CM/UEMAO relative aux procédures  particulières d’exécution  de certains règlements  pose le principe de l’obligation</w:t>
      </w:r>
      <w:r w:rsidR="00B2743A" w:rsidRPr="0034540D">
        <w:rPr>
          <w:rFonts w:ascii="Times New Roman" w:hAnsi="Times New Roman" w:cs="Times New Roman"/>
          <w:bCs/>
          <w:sz w:val="24"/>
          <w:szCs w:val="24"/>
        </w:rPr>
        <w:t>,</w:t>
      </w:r>
      <w:r w:rsidR="00B2743A" w:rsidRPr="0034540D">
        <w:rPr>
          <w:rFonts w:ascii="Times New Roman" w:hAnsi="Times New Roman" w:cs="Times New Roman"/>
          <w:b/>
          <w:bCs/>
          <w:sz w:val="24"/>
          <w:szCs w:val="24"/>
        </w:rPr>
        <w:t xml:space="preserve"> </w:t>
      </w:r>
      <w:r w:rsidRPr="0034540D">
        <w:rPr>
          <w:rFonts w:ascii="Times New Roman" w:hAnsi="Times New Roman" w:cs="Times New Roman"/>
          <w:b/>
          <w:bCs/>
          <w:sz w:val="24"/>
          <w:szCs w:val="24"/>
        </w:rPr>
        <w:t xml:space="preserve"> pour</w:t>
      </w:r>
      <w:r w:rsidRPr="0034540D">
        <w:rPr>
          <w:rFonts w:ascii="Times New Roman" w:eastAsia="Times New Roman" w:hAnsi="Times New Roman" w:cs="Times New Roman"/>
          <w:color w:val="4F4F4F"/>
          <w:sz w:val="24"/>
          <w:szCs w:val="24"/>
          <w:lang w:eastAsia="fr-FR"/>
        </w:rPr>
        <w:t xml:space="preserve"> les operateurs économiques résidents</w:t>
      </w:r>
      <w:r w:rsidR="00B2743A" w:rsidRPr="0034540D">
        <w:rPr>
          <w:rFonts w:ascii="Times New Roman" w:eastAsia="Times New Roman" w:hAnsi="Times New Roman" w:cs="Times New Roman"/>
          <w:color w:val="4F4F4F"/>
          <w:sz w:val="24"/>
          <w:szCs w:val="24"/>
          <w:lang w:eastAsia="fr-FR"/>
        </w:rPr>
        <w:t>,</w:t>
      </w:r>
      <w:r w:rsidRPr="0034540D">
        <w:rPr>
          <w:rFonts w:ascii="Times New Roman" w:eastAsia="Times New Roman" w:hAnsi="Times New Roman" w:cs="Times New Roman"/>
          <w:color w:val="4F4F4F"/>
          <w:sz w:val="24"/>
          <w:szCs w:val="24"/>
          <w:lang w:eastAsia="fr-FR"/>
        </w:rPr>
        <w:t xml:space="preserve"> d’encaisser et de rapatrier dans le pays d’origine</w:t>
      </w:r>
      <w:r w:rsidR="00B2743A" w:rsidRPr="0034540D">
        <w:rPr>
          <w:rFonts w:ascii="Times New Roman" w:eastAsia="Times New Roman" w:hAnsi="Times New Roman" w:cs="Times New Roman"/>
          <w:color w:val="4F4F4F"/>
          <w:sz w:val="24"/>
          <w:szCs w:val="24"/>
          <w:lang w:eastAsia="fr-FR"/>
        </w:rPr>
        <w:t xml:space="preserve">, </w:t>
      </w:r>
      <w:r w:rsidRPr="0034540D">
        <w:rPr>
          <w:rFonts w:ascii="Times New Roman" w:eastAsia="Times New Roman" w:hAnsi="Times New Roman" w:cs="Times New Roman"/>
          <w:color w:val="4F4F4F"/>
          <w:sz w:val="24"/>
          <w:szCs w:val="24"/>
          <w:lang w:eastAsia="fr-FR"/>
        </w:rPr>
        <w:t xml:space="preserve">  </w:t>
      </w:r>
      <w:r w:rsidRPr="0034540D">
        <w:rPr>
          <w:rFonts w:ascii="Times New Roman" w:hAnsi="Times New Roman" w:cs="Times New Roman"/>
          <w:sz w:val="24"/>
          <w:szCs w:val="24"/>
        </w:rPr>
        <w:t>auprès de la banque domiciliataire, l’intégralité des sommes provenant des ventes de marchandises à l’étranger, dans un délai d’un (1) mois à compter de la date d’exigibilité du paiement qui est celle prévu dans le contrat commercial. Il fait en outre peser sur la banque domiciliataire, obligation, à son tour au rapatriement effectif du produit des recettes d’exportation, par l’intermédiaire de la BCEAO</w:t>
      </w:r>
      <w:r w:rsidR="00B2743A" w:rsidRPr="0034540D">
        <w:rPr>
          <w:rStyle w:val="Appelnotedebasdep"/>
          <w:rFonts w:ascii="Times New Roman" w:hAnsi="Times New Roman" w:cs="Times New Roman"/>
          <w:sz w:val="24"/>
          <w:szCs w:val="24"/>
        </w:rPr>
        <w:footnoteReference w:id="17"/>
      </w:r>
      <w:r w:rsidR="001E4E06" w:rsidRPr="0034540D">
        <w:rPr>
          <w:rFonts w:ascii="Times New Roman" w:hAnsi="Times New Roman" w:cs="Times New Roman"/>
          <w:sz w:val="24"/>
          <w:szCs w:val="24"/>
        </w:rPr>
        <w:t> .</w:t>
      </w:r>
      <w:r w:rsidRPr="0034540D">
        <w:rPr>
          <w:rFonts w:ascii="Times New Roman" w:hAnsi="Times New Roman" w:cs="Times New Roman"/>
          <w:sz w:val="24"/>
          <w:szCs w:val="24"/>
        </w:rPr>
        <w:t xml:space="preserve"> Ce rapatriement par le soin de la banque est strictement encadré dans une procédure définie  par l’Instruction n° 03/07/2011/RFE du 13 juillet 2011 relative à la constitution des dossiers de domiciliation des exportations et à leur apurement. </w:t>
      </w:r>
    </w:p>
    <w:p w:rsidR="001E4E06" w:rsidRPr="0034540D" w:rsidRDefault="001E4E06"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hAnsi="Times New Roman" w:cs="Times New Roman"/>
          <w:i/>
          <w:sz w:val="24"/>
          <w:szCs w:val="24"/>
        </w:rPr>
      </w:pPr>
      <w:r w:rsidRPr="0034540D">
        <w:rPr>
          <w:rFonts w:ascii="Times New Roman" w:hAnsi="Times New Roman" w:cs="Times New Roman"/>
          <w:b/>
          <w:i/>
          <w:sz w:val="24"/>
          <w:szCs w:val="24"/>
        </w:rPr>
        <w:t>Voir annexe</w:t>
      </w:r>
    </w:p>
    <w:p w:rsidR="00DA2AE2" w:rsidRPr="0034540D" w:rsidRDefault="00DA2AE2" w:rsidP="001E5084">
      <w:pPr>
        <w:pStyle w:val="Paragraphedeliste"/>
        <w:numPr>
          <w:ilvl w:val="0"/>
          <w:numId w:val="7"/>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sz w:val="24"/>
          <w:szCs w:val="24"/>
        </w:rPr>
      </w:pPr>
    </w:p>
    <w:p w:rsidR="00DA2AE2" w:rsidRPr="0034540D" w:rsidRDefault="00DA2AE2" w:rsidP="001E5084">
      <w:pPr>
        <w:tabs>
          <w:tab w:val="left" w:pos="142"/>
          <w:tab w:val="left" w:pos="567"/>
          <w:tab w:val="left" w:pos="709"/>
        </w:tabs>
        <w:autoSpaceDE w:val="0"/>
        <w:autoSpaceDN w:val="0"/>
        <w:adjustRightInd w:val="0"/>
        <w:spacing w:after="0" w:line="360" w:lineRule="auto"/>
        <w:ind w:left="1134"/>
        <w:jc w:val="both"/>
        <w:rPr>
          <w:rFonts w:ascii="Times New Roman" w:hAnsi="Times New Roman" w:cs="Times New Roman"/>
          <w:sz w:val="24"/>
          <w:szCs w:val="24"/>
        </w:rPr>
      </w:pPr>
      <w:r w:rsidRPr="0034540D">
        <w:rPr>
          <w:rFonts w:ascii="Times New Roman" w:hAnsi="Times New Roman" w:cs="Times New Roman"/>
          <w:b/>
          <w:i/>
          <w:sz w:val="24"/>
          <w:szCs w:val="24"/>
        </w:rPr>
        <w:t>Note </w:t>
      </w:r>
      <w:r w:rsidR="001E4E06" w:rsidRPr="0034540D">
        <w:rPr>
          <w:rFonts w:ascii="Times New Roman" w:hAnsi="Times New Roman" w:cs="Times New Roman"/>
          <w:i/>
          <w:sz w:val="24"/>
          <w:szCs w:val="24"/>
        </w:rPr>
        <w:t>:  au sens de la loi 2014-26 du 28 février 2014 on entend  par « r</w:t>
      </w:r>
      <w:r w:rsidRPr="0034540D">
        <w:rPr>
          <w:rFonts w:ascii="Times New Roman" w:hAnsi="Times New Roman" w:cs="Times New Roman"/>
          <w:i/>
          <w:sz w:val="24"/>
          <w:szCs w:val="24"/>
        </w:rPr>
        <w:t>apatriement du produit des recettes d’exportation</w:t>
      </w:r>
      <w:r w:rsidR="001E4E06" w:rsidRPr="0034540D">
        <w:rPr>
          <w:rFonts w:ascii="Times New Roman" w:hAnsi="Times New Roman" w:cs="Times New Roman"/>
          <w:i/>
          <w:sz w:val="24"/>
          <w:szCs w:val="24"/>
        </w:rPr>
        <w:t> »</w:t>
      </w:r>
      <w:r w:rsidRPr="0034540D">
        <w:rPr>
          <w:rFonts w:ascii="Times New Roman" w:hAnsi="Times New Roman" w:cs="Times New Roman"/>
          <w:i/>
          <w:sz w:val="24"/>
          <w:szCs w:val="24"/>
        </w:rPr>
        <w:t xml:space="preserve">  la perception effective dans le pays d’origine, du produit des recettes d’exportation, constatée par une attestation de cession de devises établie par la banque domiciliataire ou par tout autre document correspondant au règlement, en provenance de l’étranger, de l’opération d’exportation. Le rapatriement est effectif lorsque la banque concernée cède les devises correspondantes à la BCEAO</w:t>
      </w:r>
      <w:r w:rsidRPr="0034540D">
        <w:rPr>
          <w:rStyle w:val="Appelnotedebasdep"/>
          <w:rFonts w:ascii="Times New Roman" w:hAnsi="Times New Roman" w:cs="Times New Roman"/>
          <w:sz w:val="24"/>
          <w:szCs w:val="24"/>
        </w:rPr>
        <w:footnoteReference w:id="18"/>
      </w:r>
      <w:r w:rsidRPr="0034540D">
        <w:rPr>
          <w:rFonts w:ascii="Times New Roman" w:hAnsi="Times New Roman" w:cs="Times New Roman"/>
          <w:sz w:val="24"/>
          <w:szCs w:val="24"/>
        </w:rPr>
        <w:t> .</w:t>
      </w:r>
      <w:r w:rsidRPr="0034540D">
        <w:rPr>
          <w:rFonts w:ascii="Times New Roman" w:hAnsi="Times New Roman" w:cs="Times New Roman"/>
          <w:b/>
          <w:bCs/>
          <w:sz w:val="24"/>
          <w:szCs w:val="24"/>
        </w:rPr>
        <w:t xml:space="preserve">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p>
    <w:p w:rsidR="00DA2AE2" w:rsidRPr="0034540D" w:rsidRDefault="00DA2AE2" w:rsidP="001E5084">
      <w:pPr>
        <w:pStyle w:val="Paragraphedeliste"/>
        <w:numPr>
          <w:ilvl w:val="0"/>
          <w:numId w:val="8"/>
        </w:numPr>
        <w:tabs>
          <w:tab w:val="left" w:pos="142"/>
          <w:tab w:val="left" w:pos="567"/>
          <w:tab w:val="left" w:pos="709"/>
        </w:tabs>
        <w:autoSpaceDE w:val="0"/>
        <w:autoSpaceDN w:val="0"/>
        <w:adjustRightInd w:val="0"/>
        <w:spacing w:after="0" w:line="360" w:lineRule="auto"/>
        <w:ind w:left="0" w:firstLine="0"/>
        <w:jc w:val="both"/>
        <w:rPr>
          <w:rFonts w:ascii="Times New Roman" w:eastAsia="Times New Roman" w:hAnsi="Times New Roman" w:cs="Times New Roman"/>
          <w:color w:val="4F4F4F"/>
          <w:sz w:val="24"/>
          <w:szCs w:val="24"/>
          <w:lang w:eastAsia="fr-FR"/>
        </w:rPr>
      </w:pPr>
      <w:r w:rsidRPr="0034540D">
        <w:rPr>
          <w:rFonts w:ascii="Times New Roman" w:hAnsi="Times New Roman" w:cs="Times New Roman"/>
          <w:b/>
          <w:sz w:val="24"/>
          <w:szCs w:val="24"/>
        </w:rPr>
        <w:lastRenderedPageBreak/>
        <w:t>En matière de compte détenus pour les résidents à l’étranger ou de compte  contenant de devises étrangères</w:t>
      </w:r>
      <w:r w:rsidRPr="0034540D">
        <w:rPr>
          <w:rFonts w:ascii="Times New Roman" w:hAnsi="Times New Roman" w:cs="Times New Roman"/>
          <w:sz w:val="24"/>
          <w:szCs w:val="24"/>
        </w:rPr>
        <w:t xml:space="preserve"> : </w:t>
      </w:r>
      <w:r w:rsidRPr="0034540D">
        <w:rPr>
          <w:rFonts w:ascii="Times New Roman" w:eastAsia="Times New Roman" w:hAnsi="Times New Roman" w:cs="Times New Roman"/>
          <w:color w:val="000000"/>
          <w:sz w:val="24"/>
          <w:szCs w:val="24"/>
          <w:lang w:eastAsia="fr-FR"/>
        </w:rPr>
        <w:t>la détention de comptes à l’étranger, et leur approvisionnement, par les résidents qui séjournent  à l’étranger ou à l’occasion de leur voyage à l’étranger   est bien encadrée par la règlementation communautaire. Cette dernière permet aux résidents d’</w:t>
      </w:r>
      <w:r w:rsidRPr="0034540D">
        <w:rPr>
          <w:rFonts w:ascii="Times New Roman" w:hAnsi="Times New Roman" w:cs="Times New Roman"/>
          <w:sz w:val="24"/>
          <w:szCs w:val="24"/>
        </w:rPr>
        <w:t>ouvrir des comptes bancaires destinés à recevoir  les sommes en devises légalement exportées lors de leur voyage à l’étranger et tous les revenus acquis à l’étranger durant leur séjour.</w:t>
      </w:r>
      <w:r w:rsidRPr="0034540D">
        <w:rPr>
          <w:rFonts w:ascii="Times New Roman" w:eastAsia="Times New Roman" w:hAnsi="Times New Roman" w:cs="Times New Roman"/>
          <w:color w:val="000000"/>
          <w:sz w:val="24"/>
          <w:szCs w:val="24"/>
          <w:lang w:eastAsia="fr-FR"/>
        </w:rPr>
        <w:t xml:space="preserve"> Cependant, </w:t>
      </w:r>
      <w:r w:rsidR="00E5083E" w:rsidRPr="0034540D">
        <w:rPr>
          <w:rFonts w:ascii="Times New Roman" w:eastAsia="Times New Roman" w:hAnsi="Times New Roman" w:cs="Times New Roman"/>
          <w:color w:val="000000"/>
          <w:sz w:val="24"/>
          <w:szCs w:val="24"/>
          <w:lang w:eastAsia="fr-FR"/>
        </w:rPr>
        <w:t>ils</w:t>
      </w:r>
      <w:r w:rsidRPr="0034540D">
        <w:rPr>
          <w:rFonts w:ascii="Times New Roman" w:hAnsi="Times New Roman" w:cs="Times New Roman"/>
          <w:sz w:val="24"/>
          <w:szCs w:val="24"/>
        </w:rPr>
        <w:t xml:space="preserve"> sont tenus de rapatrier les avoirs détenus dans ces comptes, dans un délai de trente (30) jours à compter de la date de leur retour au pays de résidence </w:t>
      </w:r>
      <w:r w:rsidR="00E5083E" w:rsidRPr="0034540D">
        <w:rPr>
          <w:rFonts w:ascii="Times New Roman" w:hAnsi="Times New Roman" w:cs="Times New Roman"/>
          <w:sz w:val="24"/>
          <w:szCs w:val="24"/>
        </w:rPr>
        <w:t xml:space="preserve"> comme le prévoit l’</w:t>
      </w:r>
      <w:r w:rsidRPr="0034540D">
        <w:rPr>
          <w:rFonts w:ascii="Times New Roman" w:hAnsi="Times New Roman" w:cs="Times New Roman"/>
          <w:sz w:val="24"/>
          <w:szCs w:val="24"/>
        </w:rPr>
        <w:t>article 41 Annexe II</w:t>
      </w:r>
      <w:r w:rsidR="00E5083E" w:rsidRPr="0034540D">
        <w:rPr>
          <w:rStyle w:val="Appelnotedebasdep"/>
          <w:rFonts w:ascii="Times New Roman" w:hAnsi="Times New Roman" w:cs="Times New Roman"/>
          <w:sz w:val="24"/>
          <w:szCs w:val="24"/>
        </w:rPr>
        <w:footnoteReference w:id="19"/>
      </w:r>
      <w:r w:rsidRPr="0034540D">
        <w:rPr>
          <w:rFonts w:ascii="Times New Roman" w:hAnsi="Times New Roman" w:cs="Times New Roman"/>
          <w:sz w:val="24"/>
          <w:szCs w:val="24"/>
        </w:rPr>
        <w:t xml:space="preserve"> </w:t>
      </w:r>
      <w:r w:rsidR="00E5083E" w:rsidRPr="0034540D">
        <w:rPr>
          <w:rFonts w:ascii="Times New Roman" w:hAnsi="Times New Roman" w:cs="Times New Roman"/>
          <w:sz w:val="24"/>
          <w:szCs w:val="24"/>
        </w:rPr>
        <w:t xml:space="preserve"> au Règlement 09/2010/CM/UEMOA</w:t>
      </w:r>
      <w:r w:rsidR="0097646D" w:rsidRPr="0034540D">
        <w:rPr>
          <w:rFonts w:ascii="Times New Roman" w:hAnsi="Times New Roman" w:cs="Times New Roman"/>
          <w:sz w:val="24"/>
          <w:szCs w:val="24"/>
        </w:rPr>
        <w:t xml:space="preserve"> relatif aux relations financières extérieures des Etats membres de l’Union Economique et Monétaire Ouest Africaine (UEMOA)</w:t>
      </w:r>
      <w:r w:rsidR="00E5083E" w:rsidRPr="0034540D">
        <w:rPr>
          <w:rFonts w:ascii="Times New Roman" w:hAnsi="Times New Roman" w:cs="Times New Roman"/>
          <w:sz w:val="24"/>
          <w:szCs w:val="24"/>
        </w:rPr>
        <w:t xml:space="preserve"> </w:t>
      </w:r>
      <w:r w:rsidRPr="0034540D">
        <w:rPr>
          <w:rFonts w:ascii="Times New Roman" w:hAnsi="Times New Roman" w:cs="Times New Roman"/>
          <w:sz w:val="24"/>
          <w:szCs w:val="24"/>
        </w:rPr>
        <w:t>et</w:t>
      </w:r>
      <w:r w:rsidR="00E5083E" w:rsidRPr="0034540D">
        <w:rPr>
          <w:rFonts w:ascii="Times New Roman" w:hAnsi="Times New Roman" w:cs="Times New Roman"/>
          <w:sz w:val="24"/>
          <w:szCs w:val="24"/>
        </w:rPr>
        <w:t xml:space="preserve"> celui </w:t>
      </w:r>
      <w:r w:rsidRPr="0034540D">
        <w:rPr>
          <w:rFonts w:ascii="Times New Roman" w:hAnsi="Times New Roman" w:cs="Times New Roman"/>
          <w:sz w:val="24"/>
          <w:szCs w:val="24"/>
        </w:rPr>
        <w:t xml:space="preserve"> 9 de l’instruction 08</w:t>
      </w:r>
      <w:r w:rsidR="00E5083E" w:rsidRPr="0034540D">
        <w:rPr>
          <w:rFonts w:ascii="Times New Roman" w:hAnsi="Times New Roman" w:cs="Times New Roman"/>
          <w:sz w:val="24"/>
          <w:szCs w:val="24"/>
        </w:rPr>
        <w:t>/07/REF du 13 juillet 2011</w:t>
      </w:r>
      <w:r w:rsidR="00435CFA" w:rsidRPr="0034540D">
        <w:rPr>
          <w:rStyle w:val="Appelnotedebasdep"/>
          <w:rFonts w:ascii="Times New Roman" w:hAnsi="Times New Roman" w:cs="Times New Roman"/>
          <w:sz w:val="24"/>
          <w:szCs w:val="24"/>
        </w:rPr>
        <w:footnoteReference w:id="20"/>
      </w:r>
      <w:r w:rsidR="00E5083E"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 Toutefois ,il y a lieu de préciser que </w:t>
      </w:r>
      <w:r w:rsidRPr="0034540D">
        <w:rPr>
          <w:rFonts w:ascii="Times New Roman" w:eastAsia="Times New Roman" w:hAnsi="Times New Roman" w:cs="Times New Roman"/>
          <w:color w:val="000000"/>
          <w:sz w:val="24"/>
          <w:szCs w:val="24"/>
          <w:lang w:eastAsia="fr-FR"/>
        </w:rPr>
        <w:t xml:space="preserve">  hormis les cas prévus à l’article 41 et 9 sus visé, l’ouverture de compte à l’étranger d’un résident est subordonnée à l’autorisation préalable du Ministre chargé des Finances après avis conforme de la BCEAO. A défaut d’autorisation, l’intermédiaire agrée doit faire procéder à la clôture du compte à l’expiration du délai imparti et au rapatriement  des avoirs détenus à l’étranger dans un Etat membre de l’UEMAO dans un délai de huit (08) jours</w:t>
      </w:r>
      <w:r w:rsidR="00435CFA" w:rsidRPr="0034540D">
        <w:rPr>
          <w:rStyle w:val="Appelnotedebasdep"/>
          <w:rFonts w:ascii="Times New Roman" w:eastAsia="Times New Roman" w:hAnsi="Times New Roman" w:cs="Times New Roman"/>
          <w:color w:val="000000"/>
          <w:sz w:val="24"/>
          <w:szCs w:val="24"/>
          <w:lang w:eastAsia="fr-FR"/>
        </w:rPr>
        <w:footnoteReference w:id="21"/>
      </w:r>
      <w:r w:rsidRPr="0034540D">
        <w:rPr>
          <w:rFonts w:ascii="Times New Roman" w:eastAsia="Times New Roman" w:hAnsi="Times New Roman" w:cs="Times New Roman"/>
          <w:color w:val="000000"/>
          <w:sz w:val="24"/>
          <w:szCs w:val="24"/>
          <w:lang w:eastAsia="fr-FR"/>
        </w:rPr>
        <w:t xml:space="preserve">. </w:t>
      </w:r>
    </w:p>
    <w:p w:rsidR="00DA2AE2" w:rsidRPr="0034540D" w:rsidRDefault="00DA2AE2"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eastAsia="Times New Roman" w:hAnsi="Times New Roman" w:cs="Times New Roman"/>
          <w:color w:val="4F4F4F"/>
          <w:sz w:val="24"/>
          <w:szCs w:val="24"/>
          <w:lang w:eastAsia="fr-FR"/>
        </w:rPr>
      </w:pPr>
    </w:p>
    <w:p w:rsidR="00DA2AE2" w:rsidRPr="0034540D" w:rsidRDefault="00DA2AE2" w:rsidP="001E5084">
      <w:pPr>
        <w:pStyle w:val="Paragraphedeliste"/>
        <w:numPr>
          <w:ilvl w:val="0"/>
          <w:numId w:val="8"/>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sz w:val="24"/>
          <w:szCs w:val="24"/>
        </w:rPr>
      </w:pPr>
      <w:r w:rsidRPr="0034540D">
        <w:rPr>
          <w:rFonts w:ascii="Times New Roman" w:hAnsi="Times New Roman" w:cs="Times New Roman"/>
          <w:b/>
          <w:sz w:val="24"/>
          <w:szCs w:val="24"/>
        </w:rPr>
        <w:t>A l’échéance d’un contrat de cha</w:t>
      </w:r>
      <w:r w:rsidR="00804BA6" w:rsidRPr="0034540D">
        <w:rPr>
          <w:rFonts w:ascii="Times New Roman" w:hAnsi="Times New Roman" w:cs="Times New Roman"/>
          <w:b/>
          <w:sz w:val="24"/>
          <w:szCs w:val="24"/>
        </w:rPr>
        <w:t>nge à terme sec de type forw</w:t>
      </w:r>
      <w:r w:rsidR="00B26A48" w:rsidRPr="0034540D">
        <w:rPr>
          <w:rFonts w:ascii="Times New Roman" w:hAnsi="Times New Roman" w:cs="Times New Roman"/>
          <w:b/>
          <w:sz w:val="24"/>
          <w:szCs w:val="24"/>
        </w:rPr>
        <w:t>ard</w:t>
      </w:r>
      <w:r w:rsidR="00804BA6" w:rsidRPr="0034540D">
        <w:rPr>
          <w:rStyle w:val="Appelnotedebasdep"/>
          <w:rFonts w:ascii="Times New Roman" w:hAnsi="Times New Roman" w:cs="Times New Roman"/>
          <w:b/>
          <w:sz w:val="24"/>
          <w:szCs w:val="24"/>
        </w:rPr>
        <w:footnoteReference w:id="22"/>
      </w:r>
      <w:r w:rsidR="00B26A48" w:rsidRPr="0034540D">
        <w:rPr>
          <w:rFonts w:ascii="Times New Roman" w:hAnsi="Times New Roman" w:cs="Times New Roman"/>
          <w:b/>
          <w:sz w:val="24"/>
          <w:szCs w:val="24"/>
        </w:rPr>
        <w:t>,</w:t>
      </w:r>
      <w:r w:rsidRPr="0034540D">
        <w:rPr>
          <w:rFonts w:ascii="Times New Roman" w:hAnsi="Times New Roman" w:cs="Times New Roman"/>
          <w:b/>
          <w:sz w:val="24"/>
          <w:szCs w:val="24"/>
        </w:rPr>
        <w:t xml:space="preserve"> d’une option de change ou d’un swap de change  ou de devises </w:t>
      </w:r>
      <w:r w:rsidRPr="0034540D">
        <w:rPr>
          <w:rFonts w:ascii="Times New Roman" w:eastAsia="Times New Roman" w:hAnsi="Times New Roman" w:cs="Times New Roman"/>
          <w:color w:val="4F4F4F"/>
          <w:sz w:val="24"/>
          <w:szCs w:val="24"/>
          <w:lang w:eastAsia="fr-FR"/>
        </w:rPr>
        <w:t xml:space="preserve">: </w:t>
      </w:r>
      <w:r w:rsidRPr="0034540D">
        <w:rPr>
          <w:rFonts w:ascii="Times New Roman" w:hAnsi="Times New Roman" w:cs="Times New Roman"/>
          <w:color w:val="312F2F"/>
          <w:sz w:val="24"/>
          <w:szCs w:val="24"/>
          <w:shd w:val="clear" w:color="auto" w:fill="FFFFFF"/>
        </w:rPr>
        <w:t>Le marché des changes est un marché où </w:t>
      </w:r>
      <w:r w:rsidRPr="0034540D">
        <w:rPr>
          <w:rStyle w:val="lev"/>
          <w:rFonts w:ascii="Times New Roman" w:hAnsi="Times New Roman" w:cs="Times New Roman"/>
          <w:b w:val="0"/>
          <w:color w:val="312F2F"/>
          <w:sz w:val="24"/>
          <w:szCs w:val="24"/>
          <w:shd w:val="clear" w:color="auto" w:fill="FFFFFF"/>
        </w:rPr>
        <w:t>la quasi totalité des opérations sont réalisées de gré à gré</w:t>
      </w:r>
      <w:r w:rsidRPr="0034540D">
        <w:rPr>
          <w:rStyle w:val="lev"/>
          <w:rFonts w:ascii="Times New Roman" w:hAnsi="Times New Roman" w:cs="Times New Roman"/>
          <w:color w:val="312F2F"/>
          <w:sz w:val="24"/>
          <w:szCs w:val="24"/>
          <w:shd w:val="clear" w:color="auto" w:fill="FFFFFF"/>
        </w:rPr>
        <w:t>.</w:t>
      </w:r>
      <w:r w:rsidRPr="0034540D">
        <w:rPr>
          <w:rFonts w:ascii="Times New Roman" w:eastAsia="Times New Roman" w:hAnsi="Times New Roman" w:cs="Times New Roman"/>
          <w:color w:val="4F4F4F"/>
          <w:sz w:val="24"/>
          <w:szCs w:val="24"/>
          <w:lang w:eastAsia="fr-FR"/>
        </w:rPr>
        <w:t xml:space="preserve"> Les particuliers y interviennent à travers leur banque. C’e</w:t>
      </w:r>
      <w:r w:rsidR="00435CFA" w:rsidRPr="0034540D">
        <w:rPr>
          <w:rFonts w:ascii="Times New Roman" w:eastAsia="Times New Roman" w:hAnsi="Times New Roman" w:cs="Times New Roman"/>
          <w:color w:val="4F4F4F"/>
          <w:sz w:val="24"/>
          <w:szCs w:val="24"/>
          <w:lang w:eastAsia="fr-FR"/>
        </w:rPr>
        <w:t>st le cas de</w:t>
      </w:r>
      <w:r w:rsidR="00B26A48" w:rsidRPr="0034540D">
        <w:rPr>
          <w:rFonts w:ascii="Times New Roman" w:eastAsia="Times New Roman" w:hAnsi="Times New Roman" w:cs="Times New Roman"/>
          <w:color w:val="4F4F4F"/>
          <w:sz w:val="24"/>
          <w:szCs w:val="24"/>
          <w:lang w:eastAsia="fr-FR"/>
        </w:rPr>
        <w:t>s</w:t>
      </w:r>
      <w:r w:rsidR="00435CFA" w:rsidRPr="0034540D">
        <w:rPr>
          <w:rFonts w:ascii="Times New Roman" w:eastAsia="Times New Roman" w:hAnsi="Times New Roman" w:cs="Times New Roman"/>
          <w:color w:val="4F4F4F"/>
          <w:sz w:val="24"/>
          <w:szCs w:val="24"/>
          <w:lang w:eastAsia="fr-FR"/>
        </w:rPr>
        <w:t xml:space="preserve"> résidents de l’UEM</w:t>
      </w:r>
      <w:r w:rsidRPr="0034540D">
        <w:rPr>
          <w:rFonts w:ascii="Times New Roman" w:eastAsia="Times New Roman" w:hAnsi="Times New Roman" w:cs="Times New Roman"/>
          <w:color w:val="4F4F4F"/>
          <w:sz w:val="24"/>
          <w:szCs w:val="24"/>
          <w:lang w:eastAsia="fr-FR"/>
        </w:rPr>
        <w:t>O</w:t>
      </w:r>
      <w:r w:rsidR="00435CFA" w:rsidRPr="0034540D">
        <w:rPr>
          <w:rFonts w:ascii="Times New Roman" w:eastAsia="Times New Roman" w:hAnsi="Times New Roman" w:cs="Times New Roman"/>
          <w:color w:val="4F4F4F"/>
          <w:sz w:val="24"/>
          <w:szCs w:val="24"/>
          <w:lang w:eastAsia="fr-FR"/>
        </w:rPr>
        <w:t>A</w:t>
      </w:r>
      <w:r w:rsidRPr="0034540D">
        <w:rPr>
          <w:rFonts w:ascii="Times New Roman" w:eastAsia="Times New Roman" w:hAnsi="Times New Roman" w:cs="Times New Roman"/>
          <w:color w:val="4F4F4F"/>
          <w:sz w:val="24"/>
          <w:szCs w:val="24"/>
          <w:lang w:eastAsia="fr-FR"/>
        </w:rPr>
        <w:t xml:space="preserve"> qui sont autorisés à effectuer  sur le marchés </w:t>
      </w:r>
      <w:r w:rsidR="00435CFA" w:rsidRPr="0034540D">
        <w:rPr>
          <w:rFonts w:ascii="Times New Roman" w:eastAsia="Times New Roman" w:hAnsi="Times New Roman" w:cs="Times New Roman"/>
          <w:color w:val="4F4F4F"/>
          <w:sz w:val="24"/>
          <w:szCs w:val="24"/>
          <w:lang w:eastAsia="fr-FR"/>
        </w:rPr>
        <w:t>dérivés</w:t>
      </w:r>
      <w:r w:rsidRPr="0034540D">
        <w:rPr>
          <w:rFonts w:ascii="Times New Roman" w:eastAsia="Times New Roman" w:hAnsi="Times New Roman" w:cs="Times New Roman"/>
          <w:color w:val="4F4F4F"/>
          <w:sz w:val="24"/>
          <w:szCs w:val="24"/>
          <w:lang w:eastAsia="fr-FR"/>
        </w:rPr>
        <w:t xml:space="preserve"> des change</w:t>
      </w:r>
      <w:r w:rsidR="00435CFA" w:rsidRPr="0034540D">
        <w:rPr>
          <w:rFonts w:ascii="Times New Roman" w:eastAsia="Times New Roman" w:hAnsi="Times New Roman" w:cs="Times New Roman"/>
          <w:color w:val="4F4F4F"/>
          <w:sz w:val="24"/>
          <w:szCs w:val="24"/>
          <w:lang w:eastAsia="fr-FR"/>
        </w:rPr>
        <w:t>s</w:t>
      </w:r>
      <w:r w:rsidRPr="0034540D">
        <w:rPr>
          <w:rFonts w:ascii="Times New Roman" w:eastAsia="Times New Roman" w:hAnsi="Times New Roman" w:cs="Times New Roman"/>
          <w:color w:val="4F4F4F"/>
          <w:sz w:val="24"/>
          <w:szCs w:val="24"/>
          <w:lang w:eastAsia="fr-FR"/>
        </w:rPr>
        <w:t xml:space="preserve"> certaines transactions notamment la conclusion contrat de change à terme sec de type forward, </w:t>
      </w:r>
      <w:r w:rsidRPr="0034540D">
        <w:rPr>
          <w:rFonts w:ascii="Times New Roman" w:eastAsia="Times New Roman" w:hAnsi="Times New Roman" w:cs="Times New Roman"/>
          <w:color w:val="4F4F4F"/>
          <w:sz w:val="24"/>
          <w:szCs w:val="24"/>
          <w:lang w:eastAsia="fr-FR"/>
        </w:rPr>
        <w:lastRenderedPageBreak/>
        <w:t>les options de change et les swaps de change et de devises. D</w:t>
      </w:r>
      <w:r w:rsidR="00435CFA" w:rsidRPr="0034540D">
        <w:rPr>
          <w:rFonts w:ascii="Times New Roman" w:eastAsia="Times New Roman" w:hAnsi="Times New Roman" w:cs="Times New Roman"/>
          <w:color w:val="4F4F4F"/>
          <w:sz w:val="24"/>
          <w:szCs w:val="24"/>
          <w:lang w:eastAsia="fr-FR"/>
        </w:rPr>
        <w:t>ans le cadre de ces transactions</w:t>
      </w:r>
      <w:r w:rsidRPr="0034540D">
        <w:rPr>
          <w:rFonts w:ascii="Times New Roman" w:eastAsia="Times New Roman" w:hAnsi="Times New Roman" w:cs="Times New Roman"/>
          <w:color w:val="4F4F4F"/>
          <w:sz w:val="24"/>
          <w:szCs w:val="24"/>
          <w:lang w:eastAsia="fr-FR"/>
        </w:rPr>
        <w:t>,</w:t>
      </w:r>
      <w:r w:rsidR="00CA67F6" w:rsidRPr="0034540D">
        <w:rPr>
          <w:rFonts w:ascii="Times New Roman" w:eastAsia="Times New Roman" w:hAnsi="Times New Roman" w:cs="Times New Roman"/>
          <w:color w:val="4F4F4F"/>
          <w:sz w:val="24"/>
          <w:szCs w:val="24"/>
          <w:lang w:eastAsia="fr-FR"/>
        </w:rPr>
        <w:t xml:space="preserve"> </w:t>
      </w:r>
      <w:r w:rsidRPr="0034540D">
        <w:rPr>
          <w:rFonts w:ascii="Times New Roman" w:eastAsia="Times New Roman" w:hAnsi="Times New Roman" w:cs="Times New Roman"/>
          <w:color w:val="4F4F4F"/>
          <w:sz w:val="24"/>
          <w:szCs w:val="24"/>
          <w:lang w:eastAsia="fr-FR"/>
        </w:rPr>
        <w:t>l</w:t>
      </w:r>
      <w:r w:rsidRPr="0034540D">
        <w:rPr>
          <w:rFonts w:ascii="Times New Roman" w:hAnsi="Times New Roman" w:cs="Times New Roman"/>
          <w:sz w:val="24"/>
          <w:szCs w:val="24"/>
        </w:rPr>
        <w:t xml:space="preserve">es devises étrangères reçues par un résident de l’Union doivent être rapatriées et cédées à la BCEAO, suivant la procédure prévue pour les opérations commerciales et financières. </w:t>
      </w:r>
    </w:p>
    <w:p w:rsidR="00CA67F6" w:rsidRPr="0034540D" w:rsidRDefault="00CA67F6" w:rsidP="001E5084">
      <w:pPr>
        <w:pStyle w:val="Paragraphedeliste"/>
        <w:tabs>
          <w:tab w:val="left" w:pos="142"/>
          <w:tab w:val="left" w:pos="567"/>
          <w:tab w:val="left" w:pos="709"/>
        </w:tabs>
        <w:rPr>
          <w:rFonts w:ascii="Times New Roman" w:hAnsi="Times New Roman" w:cs="Times New Roman"/>
          <w:sz w:val="24"/>
          <w:szCs w:val="24"/>
        </w:rPr>
      </w:pPr>
    </w:p>
    <w:p w:rsidR="00CA67F6" w:rsidRPr="0034540D" w:rsidRDefault="00CA67F6"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hAnsi="Times New Roman" w:cs="Times New Roman"/>
          <w:sz w:val="24"/>
          <w:szCs w:val="24"/>
        </w:rPr>
      </w:pPr>
      <w:r w:rsidRPr="0034540D">
        <w:rPr>
          <w:rFonts w:ascii="Times New Roman" w:hAnsi="Times New Roman" w:cs="Times New Roman"/>
          <w:sz w:val="24"/>
          <w:szCs w:val="24"/>
        </w:rPr>
        <w:t xml:space="preserve">---------- </w:t>
      </w:r>
    </w:p>
    <w:p w:rsidR="00DA2AE2" w:rsidRPr="0034540D" w:rsidRDefault="00DA2AE2" w:rsidP="001E5084">
      <w:pPr>
        <w:pStyle w:val="Paragraphedeliste"/>
        <w:tabs>
          <w:tab w:val="left" w:pos="142"/>
          <w:tab w:val="left" w:pos="567"/>
          <w:tab w:val="left" w:pos="709"/>
        </w:tabs>
        <w:spacing w:line="360" w:lineRule="auto"/>
        <w:ind w:left="0"/>
        <w:jc w:val="both"/>
        <w:rPr>
          <w:rFonts w:ascii="Times New Roman" w:hAnsi="Times New Roman" w:cs="Times New Roman"/>
          <w:sz w:val="24"/>
          <w:szCs w:val="24"/>
        </w:rPr>
      </w:pPr>
    </w:p>
    <w:p w:rsidR="002C5FA3" w:rsidRPr="0034540D" w:rsidRDefault="002C5FA3" w:rsidP="001E5084">
      <w:pPr>
        <w:pStyle w:val="Paragraphedeliste"/>
        <w:tabs>
          <w:tab w:val="left" w:pos="142"/>
          <w:tab w:val="left" w:pos="567"/>
          <w:tab w:val="left" w:pos="709"/>
        </w:tabs>
        <w:spacing w:line="360" w:lineRule="auto"/>
        <w:ind w:left="0"/>
        <w:jc w:val="both"/>
        <w:rPr>
          <w:rFonts w:ascii="Times New Roman" w:hAnsi="Times New Roman" w:cs="Times New Roman"/>
          <w:sz w:val="24"/>
          <w:szCs w:val="24"/>
        </w:rPr>
      </w:pPr>
    </w:p>
    <w:p w:rsidR="002C5FA3" w:rsidRPr="0034540D" w:rsidRDefault="002C5FA3" w:rsidP="001E5084">
      <w:pPr>
        <w:pStyle w:val="Paragraphedeliste"/>
        <w:tabs>
          <w:tab w:val="left" w:pos="142"/>
          <w:tab w:val="left" w:pos="567"/>
          <w:tab w:val="left" w:pos="709"/>
        </w:tabs>
        <w:spacing w:line="360" w:lineRule="auto"/>
        <w:ind w:left="0"/>
        <w:jc w:val="both"/>
        <w:rPr>
          <w:rFonts w:ascii="Times New Roman" w:hAnsi="Times New Roman" w:cs="Times New Roman"/>
          <w:sz w:val="24"/>
          <w:szCs w:val="24"/>
        </w:rPr>
      </w:pPr>
    </w:p>
    <w:p w:rsidR="00DA2AE2" w:rsidRPr="0034540D" w:rsidRDefault="00804BA6"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hAnsi="Times New Roman" w:cs="Times New Roman"/>
          <w:sz w:val="24"/>
          <w:szCs w:val="24"/>
        </w:rPr>
      </w:pPr>
      <w:r w:rsidRPr="0034540D">
        <w:rPr>
          <w:rFonts w:ascii="Times New Roman" w:hAnsi="Times New Roman" w:cs="Times New Roman"/>
          <w:b/>
          <w:sz w:val="24"/>
          <w:szCs w:val="24"/>
        </w:rPr>
        <w:t xml:space="preserve">Section III : </w:t>
      </w:r>
      <w:r w:rsidR="00DA2AE2" w:rsidRPr="0034540D">
        <w:rPr>
          <w:rFonts w:ascii="Times New Roman" w:hAnsi="Times New Roman" w:cs="Times New Roman"/>
          <w:b/>
          <w:sz w:val="24"/>
          <w:szCs w:val="24"/>
        </w:rPr>
        <w:t>le non</w:t>
      </w:r>
      <w:r w:rsidR="00CA67F6" w:rsidRPr="0034540D">
        <w:rPr>
          <w:rFonts w:ascii="Times New Roman" w:hAnsi="Times New Roman" w:cs="Times New Roman"/>
          <w:b/>
          <w:sz w:val="24"/>
          <w:szCs w:val="24"/>
        </w:rPr>
        <w:t>-</w:t>
      </w:r>
      <w:r w:rsidR="00DA2AE2" w:rsidRPr="0034540D">
        <w:rPr>
          <w:rFonts w:ascii="Times New Roman" w:hAnsi="Times New Roman" w:cs="Times New Roman"/>
          <w:b/>
          <w:sz w:val="24"/>
          <w:szCs w:val="24"/>
        </w:rPr>
        <w:t>respect des procédures  prescrites et les formalités ou justificatifs exigés :</w:t>
      </w:r>
    </w:p>
    <w:p w:rsidR="00DA2AE2" w:rsidRPr="0034540D" w:rsidRDefault="00DA2AE2"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eastAsia="Times New Roman" w:hAnsi="Times New Roman" w:cs="Times New Roman"/>
          <w:color w:val="000000"/>
          <w:sz w:val="24"/>
          <w:szCs w:val="24"/>
          <w:lang w:eastAsia="fr-FR"/>
        </w:rPr>
      </w:pPr>
      <w:r w:rsidRPr="0034540D">
        <w:rPr>
          <w:rFonts w:ascii="Times New Roman" w:eastAsia="Times New Roman" w:hAnsi="Times New Roman" w:cs="Times New Roman"/>
          <w:color w:val="000000"/>
          <w:sz w:val="24"/>
          <w:szCs w:val="24"/>
          <w:lang w:eastAsia="fr-FR"/>
        </w:rPr>
        <w:t xml:space="preserve">Pour </w:t>
      </w:r>
      <w:r w:rsidRPr="0034540D">
        <w:rPr>
          <w:rFonts w:ascii="Times New Roman" w:eastAsia="Times New Roman" w:hAnsi="Times New Roman" w:cs="Times New Roman"/>
          <w:sz w:val="24"/>
          <w:szCs w:val="24"/>
          <w:lang w:eastAsia="fr-FR"/>
        </w:rPr>
        <w:t>une meilleure maitrise des flux financiers en provenance et à destination de l’Union  et pour</w:t>
      </w:r>
      <w:r w:rsidRPr="0034540D">
        <w:rPr>
          <w:rFonts w:ascii="Times New Roman" w:eastAsia="Times New Roman" w:hAnsi="Times New Roman" w:cs="Times New Roman"/>
          <w:color w:val="000000"/>
          <w:sz w:val="24"/>
          <w:szCs w:val="24"/>
          <w:lang w:eastAsia="fr-FR"/>
        </w:rPr>
        <w:t xml:space="preserve"> éviter une sortie massive de capitaux vers l’étranger, un contrôle </w:t>
      </w:r>
      <w:r w:rsidR="00CA67F6" w:rsidRPr="0034540D">
        <w:rPr>
          <w:rFonts w:ascii="Times New Roman" w:eastAsia="Times New Roman" w:hAnsi="Times New Roman" w:cs="Times New Roman"/>
          <w:color w:val="000000"/>
          <w:sz w:val="24"/>
          <w:szCs w:val="24"/>
          <w:lang w:eastAsia="fr-FR"/>
        </w:rPr>
        <w:t xml:space="preserve">rigoureux et efficace </w:t>
      </w:r>
      <w:r w:rsidRPr="0034540D">
        <w:rPr>
          <w:rFonts w:ascii="Times New Roman" w:eastAsia="Times New Roman" w:hAnsi="Times New Roman" w:cs="Times New Roman"/>
          <w:color w:val="000000"/>
          <w:sz w:val="24"/>
          <w:szCs w:val="24"/>
          <w:lang w:eastAsia="fr-FR"/>
        </w:rPr>
        <w:t>de</w:t>
      </w:r>
      <w:r w:rsidR="00CA67F6" w:rsidRPr="0034540D">
        <w:rPr>
          <w:rFonts w:ascii="Times New Roman" w:eastAsia="Times New Roman" w:hAnsi="Times New Roman" w:cs="Times New Roman"/>
          <w:color w:val="000000"/>
          <w:sz w:val="24"/>
          <w:szCs w:val="24"/>
          <w:lang w:eastAsia="fr-FR"/>
        </w:rPr>
        <w:t>s opérations de</w:t>
      </w:r>
      <w:r w:rsidRPr="0034540D">
        <w:rPr>
          <w:rFonts w:ascii="Times New Roman" w:eastAsia="Times New Roman" w:hAnsi="Times New Roman" w:cs="Times New Roman"/>
          <w:color w:val="000000"/>
          <w:sz w:val="24"/>
          <w:szCs w:val="24"/>
          <w:lang w:eastAsia="fr-FR"/>
        </w:rPr>
        <w:t xml:space="preserve"> change</w:t>
      </w:r>
      <w:r w:rsidR="00CA67F6" w:rsidRPr="0034540D">
        <w:rPr>
          <w:rFonts w:ascii="Times New Roman" w:eastAsia="Times New Roman" w:hAnsi="Times New Roman" w:cs="Times New Roman"/>
          <w:color w:val="000000"/>
          <w:sz w:val="24"/>
          <w:szCs w:val="24"/>
          <w:lang w:eastAsia="fr-FR"/>
        </w:rPr>
        <w:t>s</w:t>
      </w:r>
      <w:r w:rsidRPr="0034540D">
        <w:rPr>
          <w:rFonts w:ascii="Times New Roman" w:eastAsia="Times New Roman" w:hAnsi="Times New Roman" w:cs="Times New Roman"/>
          <w:color w:val="000000"/>
          <w:sz w:val="24"/>
          <w:szCs w:val="24"/>
          <w:lang w:eastAsia="fr-FR"/>
        </w:rPr>
        <w:t xml:space="preserve"> a été mis en place par les dispositions réglementaires   de l’UEMO</w:t>
      </w:r>
      <w:r w:rsidR="00804BA6" w:rsidRPr="0034540D">
        <w:rPr>
          <w:rFonts w:ascii="Times New Roman" w:eastAsia="Times New Roman" w:hAnsi="Times New Roman" w:cs="Times New Roman"/>
          <w:color w:val="000000"/>
          <w:sz w:val="24"/>
          <w:szCs w:val="24"/>
          <w:lang w:eastAsia="fr-FR"/>
        </w:rPr>
        <w:t>A</w:t>
      </w:r>
      <w:r w:rsidRPr="0034540D">
        <w:rPr>
          <w:rFonts w:ascii="Times New Roman" w:eastAsia="Times New Roman" w:hAnsi="Times New Roman" w:cs="Times New Roman"/>
          <w:color w:val="000000"/>
          <w:sz w:val="24"/>
          <w:szCs w:val="24"/>
          <w:lang w:eastAsia="fr-FR"/>
        </w:rPr>
        <w:t xml:space="preserve">. Ainsi, les personnes physiques de même que les </w:t>
      </w:r>
      <w:r w:rsidR="00CA67F6" w:rsidRPr="0034540D">
        <w:rPr>
          <w:rFonts w:ascii="Times New Roman" w:eastAsia="Times New Roman" w:hAnsi="Times New Roman" w:cs="Times New Roman"/>
          <w:color w:val="000000"/>
          <w:sz w:val="24"/>
          <w:szCs w:val="24"/>
          <w:lang w:eastAsia="fr-FR"/>
        </w:rPr>
        <w:t xml:space="preserve">personnes morales </w:t>
      </w:r>
      <w:r w:rsidRPr="0034540D">
        <w:rPr>
          <w:rFonts w:ascii="Times New Roman" w:eastAsia="Times New Roman" w:hAnsi="Times New Roman" w:cs="Times New Roman"/>
          <w:color w:val="000000"/>
          <w:sz w:val="24"/>
          <w:szCs w:val="24"/>
          <w:lang w:eastAsia="fr-FR"/>
        </w:rPr>
        <w:t>autorisé</w:t>
      </w:r>
      <w:r w:rsidR="007A20E8" w:rsidRPr="0034540D">
        <w:rPr>
          <w:rFonts w:ascii="Times New Roman" w:eastAsia="Times New Roman" w:hAnsi="Times New Roman" w:cs="Times New Roman"/>
          <w:color w:val="000000"/>
          <w:sz w:val="24"/>
          <w:szCs w:val="24"/>
          <w:lang w:eastAsia="fr-FR"/>
        </w:rPr>
        <w:t>e</w:t>
      </w:r>
      <w:r w:rsidRPr="0034540D">
        <w:rPr>
          <w:rFonts w:ascii="Times New Roman" w:eastAsia="Times New Roman" w:hAnsi="Times New Roman" w:cs="Times New Roman"/>
          <w:color w:val="000000"/>
          <w:sz w:val="24"/>
          <w:szCs w:val="24"/>
          <w:lang w:eastAsia="fr-FR"/>
        </w:rPr>
        <w:t>s à exécuter des opérations financières avec l’étranger doivent le</w:t>
      </w:r>
      <w:r w:rsidR="00131E4A" w:rsidRPr="0034540D">
        <w:rPr>
          <w:rFonts w:ascii="Times New Roman" w:eastAsia="Times New Roman" w:hAnsi="Times New Roman" w:cs="Times New Roman"/>
          <w:color w:val="000000"/>
          <w:sz w:val="24"/>
          <w:szCs w:val="24"/>
          <w:lang w:eastAsia="fr-FR"/>
        </w:rPr>
        <w:t>s</w:t>
      </w:r>
      <w:r w:rsidRPr="0034540D">
        <w:rPr>
          <w:rFonts w:ascii="Times New Roman" w:eastAsia="Times New Roman" w:hAnsi="Times New Roman" w:cs="Times New Roman"/>
          <w:color w:val="000000"/>
          <w:sz w:val="24"/>
          <w:szCs w:val="24"/>
          <w:lang w:eastAsia="fr-FR"/>
        </w:rPr>
        <w:t xml:space="preserve"> faire  dans des conditions procédurales   fixées et su</w:t>
      </w:r>
      <w:r w:rsidR="007A20E8" w:rsidRPr="0034540D">
        <w:rPr>
          <w:rFonts w:ascii="Times New Roman" w:eastAsia="Times New Roman" w:hAnsi="Times New Roman" w:cs="Times New Roman"/>
          <w:color w:val="000000"/>
          <w:sz w:val="24"/>
          <w:szCs w:val="24"/>
          <w:lang w:eastAsia="fr-FR"/>
        </w:rPr>
        <w:t>ivant un formalisme bien défini. Ainsi, l’inexécution quelconque d’une formalité requise, le défaut de production  des pièces</w:t>
      </w:r>
      <w:r w:rsidR="00804BA6" w:rsidRPr="0034540D">
        <w:rPr>
          <w:rFonts w:ascii="Times New Roman" w:eastAsia="Times New Roman" w:hAnsi="Times New Roman" w:cs="Times New Roman"/>
          <w:color w:val="000000"/>
          <w:sz w:val="24"/>
          <w:szCs w:val="24"/>
          <w:lang w:eastAsia="fr-FR"/>
        </w:rPr>
        <w:t xml:space="preserve"> justificatives </w:t>
      </w:r>
      <w:r w:rsidR="007A20E8" w:rsidRPr="0034540D">
        <w:rPr>
          <w:rFonts w:ascii="Times New Roman" w:eastAsia="Times New Roman" w:hAnsi="Times New Roman" w:cs="Times New Roman"/>
          <w:color w:val="000000"/>
          <w:sz w:val="24"/>
          <w:szCs w:val="24"/>
          <w:lang w:eastAsia="fr-FR"/>
        </w:rPr>
        <w:t xml:space="preserve"> exigé</w:t>
      </w:r>
      <w:r w:rsidR="00804BA6" w:rsidRPr="0034540D">
        <w:rPr>
          <w:rFonts w:ascii="Times New Roman" w:eastAsia="Times New Roman" w:hAnsi="Times New Roman" w:cs="Times New Roman"/>
          <w:color w:val="000000"/>
          <w:sz w:val="24"/>
          <w:szCs w:val="24"/>
          <w:lang w:eastAsia="fr-FR"/>
        </w:rPr>
        <w:t>e</w:t>
      </w:r>
      <w:r w:rsidR="007A20E8" w:rsidRPr="0034540D">
        <w:rPr>
          <w:rFonts w:ascii="Times New Roman" w:eastAsia="Times New Roman" w:hAnsi="Times New Roman" w:cs="Times New Roman"/>
          <w:color w:val="000000"/>
          <w:sz w:val="24"/>
          <w:szCs w:val="24"/>
          <w:lang w:eastAsia="fr-FR"/>
        </w:rPr>
        <w:t xml:space="preserve">s de même que  l’inobservation des procédures prévues pour ces opérations par ces personnes sus énumérées  constituent une infraction à la législation des changes comme le prévoit  la législation douanière.  </w:t>
      </w:r>
    </w:p>
    <w:p w:rsidR="00DB76CB" w:rsidRPr="0034540D" w:rsidRDefault="00DB76CB" w:rsidP="001E5084">
      <w:pPr>
        <w:tabs>
          <w:tab w:val="left" w:pos="142"/>
          <w:tab w:val="left" w:pos="567"/>
          <w:tab w:val="left" w:pos="709"/>
        </w:tabs>
        <w:ind w:left="1418"/>
        <w:jc w:val="both"/>
        <w:rPr>
          <w:rFonts w:ascii="Times New Roman" w:hAnsi="Times New Roman" w:cs="Times New Roman"/>
          <w:b/>
          <w:i/>
          <w:sz w:val="24"/>
          <w:szCs w:val="24"/>
        </w:rPr>
      </w:pPr>
      <w:r w:rsidRPr="0034540D">
        <w:rPr>
          <w:rFonts w:ascii="Times New Roman" w:hAnsi="Times New Roman" w:cs="Times New Roman"/>
          <w:b/>
          <w:i/>
          <w:sz w:val="24"/>
          <w:szCs w:val="24"/>
        </w:rPr>
        <w:t>Note : Tribunal régional hors classe de Dakar, jugement du 12 avril 1999, Ministère Public et Agent Judiciaire de l’état c/ Tampasse FAYE et Ramzi SALEH</w:t>
      </w:r>
    </w:p>
    <w:p w:rsidR="00DB76CB" w:rsidRPr="0034540D" w:rsidRDefault="00DB76CB" w:rsidP="001E5084">
      <w:pPr>
        <w:tabs>
          <w:tab w:val="left" w:pos="142"/>
          <w:tab w:val="left" w:pos="567"/>
          <w:tab w:val="left" w:pos="709"/>
        </w:tabs>
        <w:ind w:left="1418"/>
        <w:jc w:val="both"/>
        <w:rPr>
          <w:rFonts w:ascii="Times New Roman" w:hAnsi="Times New Roman" w:cs="Times New Roman"/>
          <w:i/>
          <w:sz w:val="24"/>
          <w:szCs w:val="24"/>
        </w:rPr>
      </w:pPr>
      <w:r w:rsidRPr="0034540D">
        <w:rPr>
          <w:rFonts w:ascii="Times New Roman" w:hAnsi="Times New Roman" w:cs="Times New Roman"/>
          <w:i/>
          <w:sz w:val="24"/>
          <w:szCs w:val="24"/>
        </w:rPr>
        <w:t>«  Courant  année 1999, les prévenus ont tenté d’exporter frauduleusement des fonds évalués à 83.000.000 de francs CFA à l’étranger sans respecter les formalités et conditions exigées à cet effet ;</w:t>
      </w:r>
    </w:p>
    <w:p w:rsidR="00DB76CB" w:rsidRPr="0034540D" w:rsidRDefault="00DB76CB" w:rsidP="001E5084">
      <w:pPr>
        <w:tabs>
          <w:tab w:val="left" w:pos="142"/>
          <w:tab w:val="left" w:pos="567"/>
          <w:tab w:val="left" w:pos="709"/>
        </w:tabs>
        <w:ind w:left="1418"/>
        <w:jc w:val="both"/>
        <w:rPr>
          <w:rFonts w:ascii="Times New Roman" w:hAnsi="Times New Roman" w:cs="Times New Roman"/>
          <w:i/>
          <w:sz w:val="24"/>
          <w:szCs w:val="24"/>
        </w:rPr>
      </w:pPr>
      <w:r w:rsidRPr="0034540D">
        <w:rPr>
          <w:rFonts w:ascii="Times New Roman" w:hAnsi="Times New Roman" w:cs="Times New Roman"/>
          <w:i/>
          <w:sz w:val="24"/>
          <w:szCs w:val="24"/>
        </w:rPr>
        <w:t xml:space="preserve">Le tribunal après les avoir relaxés pour les faits de tentative d’exporter frauduleusement des fonds les a déclarés coupables pour infraction au contrôle des changes. </w:t>
      </w:r>
    </w:p>
    <w:p w:rsidR="00DB76CB" w:rsidRPr="0034540D" w:rsidRDefault="00DB76CB" w:rsidP="001E5084">
      <w:pPr>
        <w:tabs>
          <w:tab w:val="left" w:pos="142"/>
          <w:tab w:val="left" w:pos="567"/>
          <w:tab w:val="left" w:pos="709"/>
        </w:tabs>
        <w:ind w:left="1418"/>
        <w:jc w:val="both"/>
        <w:rPr>
          <w:rFonts w:ascii="Times New Roman" w:hAnsi="Times New Roman" w:cs="Times New Roman"/>
          <w:b/>
          <w:i/>
          <w:sz w:val="24"/>
          <w:szCs w:val="24"/>
        </w:rPr>
      </w:pPr>
      <w:r w:rsidRPr="0034540D">
        <w:rPr>
          <w:rFonts w:ascii="Times New Roman" w:hAnsi="Times New Roman" w:cs="Times New Roman"/>
          <w:i/>
          <w:sz w:val="24"/>
          <w:szCs w:val="24"/>
        </w:rPr>
        <w:t>Le juge a estimé «  qu’au moment de son arrestation Tampasse FAYE était porteur, pour le compte de SALEH de la somme de 83.000.000 de francs français (….) ; qu’il était  établi  que ces fonds étaient destinés à la Gambie, pays qui n’appartient pas ni à l’UEMOA ni à la zone franc ».</w:t>
      </w:r>
    </w:p>
    <w:p w:rsidR="00DB76CB" w:rsidRPr="0034540D" w:rsidRDefault="002C5FA3"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eastAsia="Times New Roman" w:hAnsi="Times New Roman" w:cs="Times New Roman"/>
          <w:color w:val="000000"/>
          <w:sz w:val="24"/>
          <w:szCs w:val="24"/>
          <w:lang w:eastAsia="fr-FR"/>
        </w:rPr>
      </w:pPr>
      <w:r w:rsidRPr="0034540D">
        <w:rPr>
          <w:rFonts w:ascii="Times New Roman" w:eastAsia="Times New Roman" w:hAnsi="Times New Roman" w:cs="Times New Roman"/>
          <w:color w:val="000000"/>
          <w:sz w:val="24"/>
          <w:szCs w:val="24"/>
          <w:lang w:eastAsia="fr-FR"/>
        </w:rPr>
        <w:lastRenderedPageBreak/>
        <w:t xml:space="preserve">                </w:t>
      </w:r>
      <w:r w:rsidR="00DB76CB" w:rsidRPr="0034540D">
        <w:rPr>
          <w:rFonts w:ascii="Times New Roman" w:eastAsia="Times New Roman" w:hAnsi="Times New Roman" w:cs="Times New Roman"/>
          <w:color w:val="000000"/>
          <w:sz w:val="24"/>
          <w:szCs w:val="24"/>
          <w:lang w:eastAsia="fr-FR"/>
        </w:rPr>
        <w:t>Voir annexe :</w:t>
      </w:r>
      <w:r w:rsidR="00804BA6" w:rsidRPr="0034540D">
        <w:rPr>
          <w:rFonts w:ascii="Times New Roman" w:eastAsia="Times New Roman" w:hAnsi="Times New Roman" w:cs="Times New Roman"/>
          <w:color w:val="000000"/>
          <w:sz w:val="24"/>
          <w:szCs w:val="24"/>
          <w:lang w:eastAsia="fr-FR"/>
        </w:rPr>
        <w:t xml:space="preserve"> jurisprudence</w:t>
      </w:r>
    </w:p>
    <w:p w:rsidR="00482C07" w:rsidRPr="0034540D" w:rsidRDefault="00482C07" w:rsidP="001E5084">
      <w:pPr>
        <w:tabs>
          <w:tab w:val="left" w:pos="142"/>
          <w:tab w:val="left" w:pos="567"/>
          <w:tab w:val="left" w:pos="709"/>
        </w:tabs>
        <w:autoSpaceDE w:val="0"/>
        <w:autoSpaceDN w:val="0"/>
        <w:adjustRightInd w:val="0"/>
        <w:spacing w:after="0" w:line="360" w:lineRule="auto"/>
        <w:ind w:left="1418"/>
        <w:jc w:val="both"/>
        <w:rPr>
          <w:rFonts w:ascii="Times New Roman" w:hAnsi="Times New Roman" w:cs="Times New Roman"/>
          <w:b/>
          <w:i/>
          <w:sz w:val="24"/>
          <w:szCs w:val="24"/>
        </w:rPr>
      </w:pPr>
      <w:r w:rsidRPr="0034540D">
        <w:rPr>
          <w:rFonts w:ascii="Times New Roman" w:hAnsi="Times New Roman" w:cs="Times New Roman"/>
          <w:b/>
          <w:i/>
          <w:sz w:val="24"/>
          <w:szCs w:val="24"/>
        </w:rPr>
        <w:t>Cour de Cassation, arrêt n°15 du 20 mars 2001, Administration des douanes c/Karim KONE</w:t>
      </w:r>
    </w:p>
    <w:p w:rsidR="00482C07" w:rsidRPr="0034540D" w:rsidRDefault="00482C07" w:rsidP="001E5084">
      <w:pPr>
        <w:tabs>
          <w:tab w:val="left" w:pos="142"/>
          <w:tab w:val="left" w:pos="567"/>
          <w:tab w:val="left" w:pos="709"/>
        </w:tabs>
        <w:autoSpaceDE w:val="0"/>
        <w:autoSpaceDN w:val="0"/>
        <w:adjustRightInd w:val="0"/>
        <w:spacing w:after="0" w:line="360" w:lineRule="auto"/>
        <w:ind w:left="1418"/>
        <w:jc w:val="both"/>
        <w:rPr>
          <w:rFonts w:ascii="Times New Roman" w:hAnsi="Times New Roman" w:cs="Times New Roman"/>
          <w:b/>
          <w:i/>
          <w:sz w:val="24"/>
          <w:szCs w:val="24"/>
        </w:rPr>
      </w:pPr>
      <w:r w:rsidRPr="0034540D">
        <w:rPr>
          <w:rFonts w:ascii="Times New Roman" w:hAnsi="Times New Roman" w:cs="Times New Roman"/>
          <w:i/>
          <w:color w:val="FF0000"/>
          <w:sz w:val="24"/>
          <w:szCs w:val="24"/>
        </w:rPr>
        <w:t>« </w:t>
      </w:r>
      <w:r w:rsidRPr="0034540D">
        <w:rPr>
          <w:rFonts w:ascii="Times New Roman" w:hAnsi="Times New Roman" w:cs="Times New Roman"/>
          <w:i/>
          <w:sz w:val="24"/>
          <w:szCs w:val="24"/>
        </w:rPr>
        <w:t>Mais attendu qu’en statuant ainsi, alors qu’il résulte d’un procès verbal de constat du 28 septembre 1992 produit par l’Administration des douanes que courant 1991, 2219 paniers de colas en provenance  du Mali ont été enlevés et mis à la consommation au Sénégal sans accomplissement des formalités douanières  requises et sans paiement des droits et taxes ; que l’importateur ne dispose ni de copie de déclaration en  douane ni de quittance de paiement au Trésor et ces faits  constituent une importation sans déclaration de marchandises prohibées ,la chambre d’accusation a méconnu  le texte susvisé</w:t>
      </w:r>
      <w:r w:rsidRPr="0034540D">
        <w:rPr>
          <w:rFonts w:ascii="Times New Roman" w:hAnsi="Times New Roman" w:cs="Times New Roman"/>
          <w:i/>
          <w:color w:val="FF0000"/>
          <w:sz w:val="24"/>
          <w:szCs w:val="24"/>
        </w:rPr>
        <w:t xml:space="preserve"> » </w:t>
      </w:r>
      <w:r w:rsidRPr="0034540D">
        <w:rPr>
          <w:rFonts w:ascii="Times New Roman" w:hAnsi="Times New Roman" w:cs="Times New Roman"/>
          <w:b/>
          <w:i/>
          <w:sz w:val="24"/>
          <w:szCs w:val="24"/>
        </w:rPr>
        <w:t xml:space="preserve">    </w:t>
      </w:r>
    </w:p>
    <w:p w:rsidR="00482C07" w:rsidRPr="0034540D" w:rsidRDefault="002C5FA3"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 xml:space="preserve">              </w:t>
      </w:r>
      <w:r w:rsidR="00482C07" w:rsidRPr="0034540D">
        <w:rPr>
          <w:rFonts w:ascii="Times New Roman" w:hAnsi="Times New Roman" w:cs="Times New Roman"/>
          <w:b/>
          <w:sz w:val="24"/>
          <w:szCs w:val="24"/>
        </w:rPr>
        <w:t xml:space="preserve">Voir </w:t>
      </w:r>
      <w:r w:rsidR="00482C07" w:rsidRPr="0034540D">
        <w:rPr>
          <w:rFonts w:ascii="Times New Roman" w:hAnsi="Times New Roman" w:cs="Times New Roman"/>
          <w:b/>
          <w:sz w:val="24"/>
          <w:szCs w:val="24"/>
        </w:rPr>
        <w:tab/>
        <w:t xml:space="preserve">annexe  </w:t>
      </w:r>
      <w:r w:rsidR="00804BA6" w:rsidRPr="0034540D">
        <w:rPr>
          <w:rFonts w:ascii="Times New Roman" w:hAnsi="Times New Roman" w:cs="Times New Roman"/>
          <w:b/>
          <w:sz w:val="24"/>
          <w:szCs w:val="24"/>
        </w:rPr>
        <w:t xml:space="preserve">jurisprudence </w:t>
      </w:r>
    </w:p>
    <w:p w:rsidR="00482C07" w:rsidRPr="0034540D" w:rsidRDefault="00482C07"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eastAsia="Times New Roman" w:hAnsi="Times New Roman" w:cs="Times New Roman"/>
          <w:color w:val="000000"/>
          <w:sz w:val="24"/>
          <w:szCs w:val="24"/>
          <w:lang w:eastAsia="fr-FR"/>
        </w:rPr>
      </w:pPr>
    </w:p>
    <w:p w:rsidR="00DA2AE2" w:rsidRPr="0034540D" w:rsidRDefault="00DA2AE2"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eastAsia="Times New Roman" w:hAnsi="Times New Roman" w:cs="Times New Roman"/>
          <w:color w:val="000000"/>
          <w:sz w:val="24"/>
          <w:szCs w:val="24"/>
          <w:lang w:eastAsia="fr-FR"/>
        </w:rPr>
      </w:pPr>
      <w:r w:rsidRPr="0034540D">
        <w:rPr>
          <w:rFonts w:ascii="Times New Roman" w:eastAsia="Times New Roman" w:hAnsi="Times New Roman" w:cs="Times New Roman"/>
          <w:color w:val="000000"/>
          <w:sz w:val="24"/>
          <w:szCs w:val="24"/>
          <w:lang w:eastAsia="fr-FR"/>
        </w:rPr>
        <w:t>----</w:t>
      </w:r>
    </w:p>
    <w:p w:rsidR="006C0B63" w:rsidRPr="0034540D" w:rsidRDefault="00DA2AE2"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hAnsi="Times New Roman" w:cs="Times New Roman"/>
          <w:b/>
          <w:sz w:val="24"/>
          <w:szCs w:val="24"/>
        </w:rPr>
      </w:pPr>
      <w:r w:rsidRPr="0034540D">
        <w:rPr>
          <w:rFonts w:ascii="Times New Roman" w:hAnsi="Times New Roman" w:cs="Times New Roman"/>
          <w:sz w:val="24"/>
          <w:szCs w:val="24"/>
        </w:rPr>
        <w:t>Note :</w:t>
      </w:r>
      <w:r w:rsidR="006C0B63" w:rsidRPr="0034540D">
        <w:rPr>
          <w:rFonts w:ascii="Times New Roman" w:hAnsi="Times New Roman" w:cs="Times New Roman"/>
          <w:b/>
          <w:sz w:val="24"/>
          <w:szCs w:val="24"/>
        </w:rPr>
        <w:t xml:space="preserve"> P</w:t>
      </w:r>
      <w:r w:rsidRPr="0034540D">
        <w:rPr>
          <w:rFonts w:ascii="Times New Roman" w:hAnsi="Times New Roman" w:cs="Times New Roman"/>
          <w:b/>
          <w:sz w:val="24"/>
          <w:szCs w:val="24"/>
        </w:rPr>
        <w:t>rocédure</w:t>
      </w:r>
      <w:r w:rsidR="007A20E8" w:rsidRPr="0034540D">
        <w:rPr>
          <w:rFonts w:ascii="Times New Roman" w:hAnsi="Times New Roman" w:cs="Times New Roman"/>
          <w:b/>
          <w:sz w:val="24"/>
          <w:szCs w:val="24"/>
        </w:rPr>
        <w:t xml:space="preserve">s et </w:t>
      </w:r>
      <w:r w:rsidRPr="0034540D">
        <w:rPr>
          <w:rFonts w:ascii="Times New Roman" w:hAnsi="Times New Roman" w:cs="Times New Roman"/>
          <w:b/>
          <w:sz w:val="24"/>
          <w:szCs w:val="24"/>
        </w:rPr>
        <w:t xml:space="preserve"> formalités ou justificatifs exigés </w:t>
      </w:r>
      <w:r w:rsidR="00F83659" w:rsidRPr="0034540D">
        <w:rPr>
          <w:rFonts w:ascii="Times New Roman" w:hAnsi="Times New Roman" w:cs="Times New Roman"/>
          <w:b/>
          <w:sz w:val="24"/>
          <w:szCs w:val="24"/>
        </w:rPr>
        <w:t xml:space="preserve">à respecter </w:t>
      </w:r>
      <w:r w:rsidR="007A20E8" w:rsidRPr="0034540D">
        <w:rPr>
          <w:rFonts w:ascii="Times New Roman" w:hAnsi="Times New Roman" w:cs="Times New Roman"/>
          <w:b/>
          <w:sz w:val="24"/>
          <w:szCs w:val="24"/>
        </w:rPr>
        <w:t xml:space="preserve"> pour certaines opérations</w:t>
      </w:r>
      <w:r w:rsidR="00F83659" w:rsidRPr="0034540D">
        <w:rPr>
          <w:rFonts w:ascii="Times New Roman" w:hAnsi="Times New Roman" w:cs="Times New Roman"/>
          <w:b/>
          <w:sz w:val="24"/>
          <w:szCs w:val="24"/>
        </w:rPr>
        <w:t xml:space="preserve">  conformément aux dispositions </w:t>
      </w:r>
      <w:r w:rsidR="007A20E8" w:rsidRPr="0034540D">
        <w:rPr>
          <w:rFonts w:ascii="Times New Roman" w:hAnsi="Times New Roman" w:cs="Times New Roman"/>
          <w:b/>
          <w:sz w:val="24"/>
          <w:szCs w:val="24"/>
        </w:rPr>
        <w:t> </w:t>
      </w:r>
      <w:r w:rsidR="00F83659" w:rsidRPr="0034540D">
        <w:rPr>
          <w:rFonts w:ascii="Times New Roman" w:hAnsi="Times New Roman" w:cs="Times New Roman"/>
          <w:b/>
          <w:sz w:val="24"/>
          <w:szCs w:val="24"/>
        </w:rPr>
        <w:t>communautaires</w:t>
      </w:r>
      <w:r w:rsidR="007A20E8" w:rsidRPr="0034540D">
        <w:rPr>
          <w:rFonts w:ascii="Times New Roman" w:hAnsi="Times New Roman" w:cs="Times New Roman"/>
          <w:b/>
          <w:sz w:val="24"/>
          <w:szCs w:val="24"/>
        </w:rPr>
        <w:t>:</w:t>
      </w:r>
      <w:r w:rsidR="006C0B63" w:rsidRPr="0034540D">
        <w:rPr>
          <w:rFonts w:ascii="Times New Roman" w:hAnsi="Times New Roman" w:cs="Times New Roman"/>
          <w:b/>
          <w:sz w:val="24"/>
          <w:szCs w:val="24"/>
        </w:rPr>
        <w:t xml:space="preserve"> Notons que pour la plupa</w:t>
      </w:r>
      <w:r w:rsidR="00F83659" w:rsidRPr="0034540D">
        <w:rPr>
          <w:rFonts w:ascii="Times New Roman" w:hAnsi="Times New Roman" w:cs="Times New Roman"/>
          <w:b/>
          <w:sz w:val="24"/>
          <w:szCs w:val="24"/>
        </w:rPr>
        <w:t>r</w:t>
      </w:r>
      <w:r w:rsidR="006C0B63" w:rsidRPr="0034540D">
        <w:rPr>
          <w:rFonts w:ascii="Times New Roman" w:hAnsi="Times New Roman" w:cs="Times New Roman"/>
          <w:b/>
          <w:sz w:val="24"/>
          <w:szCs w:val="24"/>
        </w:rPr>
        <w:t xml:space="preserve">t des opérations, il est exigé l’autorisation </w:t>
      </w:r>
      <w:r w:rsidR="00F83659" w:rsidRPr="0034540D">
        <w:rPr>
          <w:rFonts w:ascii="Times New Roman" w:hAnsi="Times New Roman" w:cs="Times New Roman"/>
          <w:b/>
          <w:sz w:val="24"/>
          <w:szCs w:val="24"/>
        </w:rPr>
        <w:t xml:space="preserve">préalable </w:t>
      </w:r>
      <w:r w:rsidR="006C0B63" w:rsidRPr="0034540D">
        <w:rPr>
          <w:rFonts w:ascii="Times New Roman" w:hAnsi="Times New Roman" w:cs="Times New Roman"/>
          <w:b/>
          <w:sz w:val="24"/>
          <w:szCs w:val="24"/>
        </w:rPr>
        <w:t xml:space="preserve"> du Ministre chargé des Finances</w:t>
      </w:r>
      <w:r w:rsidR="00F83659" w:rsidRPr="0034540D">
        <w:rPr>
          <w:rFonts w:ascii="Times New Roman" w:hAnsi="Times New Roman" w:cs="Times New Roman"/>
          <w:b/>
          <w:sz w:val="24"/>
          <w:szCs w:val="24"/>
        </w:rPr>
        <w:t xml:space="preserve"> ou la réalisation des opérations par l’entremise d’un intermédiaire agrée.</w:t>
      </w:r>
    </w:p>
    <w:p w:rsidR="00A009D4" w:rsidRPr="0034540D" w:rsidRDefault="00DA2AE2" w:rsidP="001E5084">
      <w:pPr>
        <w:pStyle w:val="Paragraphedeliste"/>
        <w:numPr>
          <w:ilvl w:val="0"/>
          <w:numId w:val="10"/>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Pour les opérations courantes :</w:t>
      </w:r>
      <w:r w:rsidRPr="0034540D">
        <w:rPr>
          <w:rFonts w:ascii="Times New Roman" w:eastAsia="Times New Roman" w:hAnsi="Times New Roman" w:cs="Times New Roman"/>
          <w:color w:val="1A1A1A"/>
          <w:sz w:val="24"/>
          <w:szCs w:val="24"/>
          <w:lang w:eastAsia="fr-FR"/>
        </w:rPr>
        <w:t xml:space="preserve"> les transactions courantes à destination  de l’étranger sont exécutées par des intermédiaires agrées</w:t>
      </w:r>
      <w:r w:rsidR="007A20E8" w:rsidRPr="0034540D">
        <w:rPr>
          <w:rStyle w:val="Appelnotedebasdep"/>
          <w:rFonts w:ascii="Times New Roman" w:eastAsia="Times New Roman" w:hAnsi="Times New Roman" w:cs="Times New Roman"/>
          <w:color w:val="1A1A1A"/>
          <w:sz w:val="24"/>
          <w:szCs w:val="24"/>
          <w:lang w:eastAsia="fr-FR"/>
        </w:rPr>
        <w:footnoteReference w:id="23"/>
      </w:r>
      <w:r w:rsidRPr="0034540D">
        <w:rPr>
          <w:rFonts w:ascii="Times New Roman" w:eastAsia="Times New Roman" w:hAnsi="Times New Roman" w:cs="Times New Roman"/>
          <w:color w:val="1A1A1A"/>
          <w:sz w:val="24"/>
          <w:szCs w:val="24"/>
          <w:lang w:eastAsia="fr-FR"/>
        </w:rPr>
        <w:t xml:space="preserve"> notamment des  banques locales. Les différentes opérations considérées individuellement nécessitent</w:t>
      </w:r>
      <w:r w:rsidR="004E4367" w:rsidRPr="0034540D">
        <w:rPr>
          <w:rFonts w:ascii="Times New Roman" w:eastAsia="Times New Roman" w:hAnsi="Times New Roman" w:cs="Times New Roman"/>
          <w:color w:val="1A1A1A"/>
          <w:sz w:val="24"/>
          <w:szCs w:val="24"/>
          <w:lang w:eastAsia="fr-FR"/>
        </w:rPr>
        <w:t xml:space="preserve"> des procédures complémentaires. Ainsi : </w:t>
      </w:r>
    </w:p>
    <w:p w:rsidR="00A009D4" w:rsidRPr="0034540D" w:rsidRDefault="00DA2AE2" w:rsidP="001E5084">
      <w:pPr>
        <w:pStyle w:val="Paragraphedeliste"/>
        <w:numPr>
          <w:ilvl w:val="0"/>
          <w:numId w:val="29"/>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Les paiements courants à destination de l’étranger : </w:t>
      </w:r>
      <w:r w:rsidRPr="0034540D">
        <w:rPr>
          <w:rFonts w:ascii="Times New Roman" w:hAnsi="Times New Roman" w:cs="Times New Roman"/>
          <w:sz w:val="24"/>
          <w:szCs w:val="24"/>
        </w:rPr>
        <w:t xml:space="preserve">ils sont effectués en vertu du principe de liberté par les intermédiaires agrées </w:t>
      </w:r>
      <w:r w:rsidR="00610E39" w:rsidRPr="0034540D">
        <w:rPr>
          <w:rFonts w:ascii="Times New Roman" w:hAnsi="Times New Roman" w:cs="Times New Roman"/>
          <w:sz w:val="24"/>
          <w:szCs w:val="24"/>
        </w:rPr>
        <w:t xml:space="preserve"> qui sont autorisés à faire certaines prestations </w:t>
      </w:r>
      <w:r w:rsidRPr="0034540D">
        <w:rPr>
          <w:rFonts w:ascii="Times New Roman" w:hAnsi="Times New Roman" w:cs="Times New Roman"/>
          <w:sz w:val="24"/>
          <w:szCs w:val="24"/>
        </w:rPr>
        <w:t>sous leur seule responsabilité et sur présentation  des pièces justificatives exigées. </w:t>
      </w:r>
      <w:r w:rsidR="004E4367" w:rsidRPr="0034540D">
        <w:rPr>
          <w:rFonts w:ascii="Times New Roman" w:hAnsi="Times New Roman" w:cs="Times New Roman"/>
          <w:sz w:val="24"/>
          <w:szCs w:val="24"/>
        </w:rPr>
        <w:t xml:space="preserve">C’est  dire que les intermédiaires </w:t>
      </w:r>
      <w:r w:rsidR="004E4367" w:rsidRPr="0034540D">
        <w:rPr>
          <w:rFonts w:ascii="Times New Roman" w:hAnsi="Times New Roman" w:cs="Times New Roman"/>
          <w:sz w:val="24"/>
          <w:szCs w:val="24"/>
        </w:rPr>
        <w:lastRenderedPageBreak/>
        <w:t>agrées ont l’obligation d’exiger et de veiller à la régularité des pièces qui leur sont présentées sous peine d’engager leurs responsabilités avant de procéder  à certaines opérations relatives à des paiements courants à destination de l’</w:t>
      </w:r>
      <w:r w:rsidR="007822B1" w:rsidRPr="0034540D">
        <w:rPr>
          <w:rFonts w:ascii="Times New Roman" w:hAnsi="Times New Roman" w:cs="Times New Roman"/>
          <w:sz w:val="24"/>
          <w:szCs w:val="24"/>
        </w:rPr>
        <w:t>étranger</w:t>
      </w:r>
      <w:r w:rsidR="004E4367" w:rsidRPr="0034540D">
        <w:rPr>
          <w:rFonts w:ascii="Times New Roman" w:hAnsi="Times New Roman" w:cs="Times New Roman"/>
          <w:sz w:val="24"/>
          <w:szCs w:val="24"/>
        </w:rPr>
        <w:t xml:space="preserve">. </w:t>
      </w:r>
      <w:r w:rsidR="00E82207" w:rsidRPr="0034540D">
        <w:rPr>
          <w:rFonts w:ascii="Times New Roman" w:hAnsi="Times New Roman" w:cs="Times New Roman"/>
          <w:sz w:val="24"/>
          <w:szCs w:val="24"/>
        </w:rPr>
        <w:t>Il en est ainsi</w:t>
      </w:r>
      <w:r w:rsidR="00804BA6" w:rsidRPr="0034540D">
        <w:rPr>
          <w:rFonts w:ascii="Times New Roman" w:hAnsi="Times New Roman" w:cs="Times New Roman"/>
          <w:sz w:val="24"/>
          <w:szCs w:val="24"/>
        </w:rPr>
        <w:t xml:space="preserve"> pour</w:t>
      </w:r>
      <w:r w:rsidR="00E82207" w:rsidRPr="0034540D">
        <w:rPr>
          <w:rFonts w:ascii="Times New Roman" w:hAnsi="Times New Roman" w:cs="Times New Roman"/>
          <w:sz w:val="24"/>
          <w:szCs w:val="24"/>
        </w:rPr>
        <w:t> :</w:t>
      </w:r>
    </w:p>
    <w:p w:rsidR="00804BA6" w:rsidRPr="0034540D" w:rsidRDefault="00BF18B7" w:rsidP="001E5084">
      <w:pPr>
        <w:pStyle w:val="Paragraphedeliste"/>
        <w:numPr>
          <w:ilvl w:val="0"/>
          <w:numId w:val="31"/>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sz w:val="24"/>
          <w:szCs w:val="24"/>
        </w:rPr>
      </w:pPr>
      <w:r w:rsidRPr="0034540D">
        <w:rPr>
          <w:rFonts w:ascii="Times New Roman" w:hAnsi="Times New Roman" w:cs="Times New Roman"/>
          <w:b/>
          <w:sz w:val="24"/>
          <w:szCs w:val="24"/>
        </w:rPr>
        <w:t>Le règlement à destination de l’étranger</w:t>
      </w:r>
      <w:r w:rsidR="00804BA6" w:rsidRPr="0034540D">
        <w:rPr>
          <w:rFonts w:ascii="Times New Roman" w:hAnsi="Times New Roman" w:cs="Times New Roman"/>
          <w:b/>
          <w:sz w:val="24"/>
          <w:szCs w:val="24"/>
        </w:rPr>
        <w:t xml:space="preserve"> des</w:t>
      </w:r>
    </w:p>
    <w:p w:rsidR="001C557B" w:rsidRPr="0034540D" w:rsidRDefault="00BF18B7" w:rsidP="001E5084">
      <w:pPr>
        <w:pStyle w:val="Paragraphedeliste"/>
        <w:tabs>
          <w:tab w:val="left" w:pos="142"/>
          <w:tab w:val="left" w:pos="567"/>
          <w:tab w:val="left" w:pos="709"/>
        </w:tabs>
        <w:autoSpaceDE w:val="0"/>
        <w:autoSpaceDN w:val="0"/>
        <w:adjustRightInd w:val="0"/>
        <w:spacing w:after="0" w:line="360" w:lineRule="auto"/>
        <w:ind w:left="993"/>
        <w:jc w:val="both"/>
        <w:rPr>
          <w:rFonts w:ascii="Times New Roman" w:hAnsi="Times New Roman" w:cs="Times New Roman"/>
          <w:sz w:val="24"/>
          <w:szCs w:val="24"/>
        </w:rPr>
      </w:pPr>
      <w:r w:rsidRPr="0034540D">
        <w:rPr>
          <w:rFonts w:ascii="Times New Roman" w:hAnsi="Times New Roman" w:cs="Times New Roman"/>
          <w:b/>
          <w:sz w:val="24"/>
          <w:szCs w:val="24"/>
        </w:rPr>
        <w:t>importations de marchandises</w:t>
      </w:r>
      <w:r w:rsidR="00E82207" w:rsidRPr="0034540D">
        <w:rPr>
          <w:rFonts w:ascii="Times New Roman" w:hAnsi="Times New Roman" w:cs="Times New Roman"/>
          <w:sz w:val="24"/>
          <w:szCs w:val="24"/>
        </w:rPr>
        <w:t xml:space="preserve"> : que l’opération </w:t>
      </w:r>
      <w:r w:rsidR="003E75EB" w:rsidRPr="0034540D">
        <w:rPr>
          <w:rFonts w:ascii="Times New Roman" w:hAnsi="Times New Roman" w:cs="Times New Roman"/>
          <w:sz w:val="24"/>
          <w:szCs w:val="24"/>
        </w:rPr>
        <w:t xml:space="preserve"> d’importation </w:t>
      </w:r>
      <w:r w:rsidR="00E82207" w:rsidRPr="0034540D">
        <w:rPr>
          <w:rFonts w:ascii="Times New Roman" w:hAnsi="Times New Roman" w:cs="Times New Roman"/>
          <w:sz w:val="24"/>
          <w:szCs w:val="24"/>
        </w:rPr>
        <w:t>soi</w:t>
      </w:r>
      <w:r w:rsidR="003E75EB" w:rsidRPr="0034540D">
        <w:rPr>
          <w:rFonts w:ascii="Times New Roman" w:hAnsi="Times New Roman" w:cs="Times New Roman"/>
          <w:sz w:val="24"/>
          <w:szCs w:val="24"/>
        </w:rPr>
        <w:t xml:space="preserve">t </w:t>
      </w:r>
      <w:r w:rsidR="00E82207" w:rsidRPr="0034540D">
        <w:rPr>
          <w:rFonts w:ascii="Times New Roman" w:hAnsi="Times New Roman" w:cs="Times New Roman"/>
          <w:sz w:val="24"/>
          <w:szCs w:val="24"/>
        </w:rPr>
        <w:t xml:space="preserve"> domiciliée ou non, le règlement ,qui doit être fait par l’entremise d’un intermédiaire agrée ou de l’administration des Postes  dans la li</w:t>
      </w:r>
      <w:r w:rsidR="003E75EB" w:rsidRPr="0034540D">
        <w:rPr>
          <w:rFonts w:ascii="Times New Roman" w:hAnsi="Times New Roman" w:cs="Times New Roman"/>
          <w:sz w:val="24"/>
          <w:szCs w:val="24"/>
        </w:rPr>
        <w:t>m</w:t>
      </w:r>
      <w:r w:rsidR="00E82207" w:rsidRPr="0034540D">
        <w:rPr>
          <w:rFonts w:ascii="Times New Roman" w:hAnsi="Times New Roman" w:cs="Times New Roman"/>
          <w:sz w:val="24"/>
          <w:szCs w:val="24"/>
        </w:rPr>
        <w:t>it</w:t>
      </w:r>
      <w:r w:rsidR="003E75EB" w:rsidRPr="0034540D">
        <w:rPr>
          <w:rFonts w:ascii="Times New Roman" w:hAnsi="Times New Roman" w:cs="Times New Roman"/>
          <w:sz w:val="24"/>
          <w:szCs w:val="24"/>
        </w:rPr>
        <w:t>e</w:t>
      </w:r>
      <w:r w:rsidR="00E82207" w:rsidRPr="0034540D">
        <w:rPr>
          <w:rFonts w:ascii="Times New Roman" w:hAnsi="Times New Roman" w:cs="Times New Roman"/>
          <w:sz w:val="24"/>
          <w:szCs w:val="24"/>
        </w:rPr>
        <w:t xml:space="preserve"> fixée, donne lieu à l’établissement d’un «  formulaire de change conforme</w:t>
      </w:r>
      <w:r w:rsidR="003E75EB" w:rsidRPr="0034540D">
        <w:rPr>
          <w:rFonts w:ascii="Times New Roman" w:hAnsi="Times New Roman" w:cs="Times New Roman"/>
          <w:sz w:val="24"/>
          <w:szCs w:val="24"/>
        </w:rPr>
        <w:t xml:space="preserve"> à un modèle fixé</w:t>
      </w:r>
      <w:r w:rsidR="003E75EB" w:rsidRPr="0034540D">
        <w:rPr>
          <w:rStyle w:val="Appelnotedebasdep"/>
          <w:rFonts w:ascii="Times New Roman" w:hAnsi="Times New Roman" w:cs="Times New Roman"/>
          <w:sz w:val="24"/>
          <w:szCs w:val="24"/>
        </w:rPr>
        <w:footnoteReference w:id="24"/>
      </w:r>
      <w:r w:rsidR="003E75EB" w:rsidRPr="0034540D">
        <w:rPr>
          <w:rFonts w:ascii="Times New Roman" w:hAnsi="Times New Roman" w:cs="Times New Roman"/>
          <w:sz w:val="24"/>
          <w:szCs w:val="24"/>
        </w:rPr>
        <w:t xml:space="preserve"> et soumis par délégation au visa de l’intermédiaire chargé du règlement. La livraison des devises</w:t>
      </w:r>
      <w:r w:rsidR="003E75EB" w:rsidRPr="0034540D">
        <w:rPr>
          <w:rStyle w:val="Appelnotedebasdep"/>
          <w:rFonts w:ascii="Times New Roman" w:hAnsi="Times New Roman" w:cs="Times New Roman"/>
          <w:sz w:val="24"/>
          <w:szCs w:val="24"/>
        </w:rPr>
        <w:footnoteReference w:id="25"/>
      </w:r>
      <w:r w:rsidR="003E75EB" w:rsidRPr="0034540D">
        <w:rPr>
          <w:rFonts w:ascii="Times New Roman" w:hAnsi="Times New Roman" w:cs="Times New Roman"/>
          <w:sz w:val="24"/>
          <w:szCs w:val="24"/>
        </w:rPr>
        <w:t xml:space="preserve"> est  faite selon qu’il ait ou non livraison effective de marchandises</w:t>
      </w:r>
      <w:r w:rsidR="00F171C8" w:rsidRPr="0034540D">
        <w:rPr>
          <w:rFonts w:ascii="Times New Roman" w:hAnsi="Times New Roman" w:cs="Times New Roman"/>
          <w:sz w:val="24"/>
          <w:szCs w:val="24"/>
        </w:rPr>
        <w:t>.</w:t>
      </w:r>
    </w:p>
    <w:p w:rsidR="00A009D4" w:rsidRPr="0034540D" w:rsidRDefault="001C557B" w:rsidP="001E5084">
      <w:pPr>
        <w:pStyle w:val="Paragraphedeliste"/>
        <w:numPr>
          <w:ilvl w:val="0"/>
          <w:numId w:val="31"/>
        </w:numPr>
        <w:tabs>
          <w:tab w:val="left" w:pos="142"/>
          <w:tab w:val="left" w:pos="567"/>
          <w:tab w:val="left" w:pos="709"/>
        </w:tabs>
        <w:autoSpaceDE w:val="0"/>
        <w:autoSpaceDN w:val="0"/>
        <w:adjustRightInd w:val="0"/>
        <w:spacing w:after="0" w:line="360" w:lineRule="auto"/>
        <w:ind w:left="426" w:firstLine="0"/>
        <w:jc w:val="both"/>
        <w:rPr>
          <w:rFonts w:ascii="Times New Roman" w:hAnsi="Times New Roman" w:cs="Times New Roman"/>
          <w:b/>
          <w:sz w:val="24"/>
          <w:szCs w:val="24"/>
        </w:rPr>
      </w:pPr>
      <w:r w:rsidRPr="0034540D">
        <w:rPr>
          <w:rFonts w:ascii="Times New Roman" w:hAnsi="Times New Roman" w:cs="Times New Roman"/>
          <w:sz w:val="24"/>
          <w:szCs w:val="24"/>
        </w:rPr>
        <w:t xml:space="preserve"> </w:t>
      </w:r>
      <w:r w:rsidRPr="0034540D">
        <w:rPr>
          <w:rFonts w:ascii="Times New Roman" w:hAnsi="Times New Roman" w:cs="Times New Roman"/>
          <w:b/>
          <w:sz w:val="24"/>
          <w:szCs w:val="24"/>
        </w:rPr>
        <w:t>L’exportation à l’étranger, par quelque voie que ce soit des instruments de paiement</w:t>
      </w:r>
      <w:r w:rsidRPr="0034540D">
        <w:rPr>
          <w:rFonts w:ascii="Times New Roman" w:hAnsi="Times New Roman" w:cs="Times New Roman"/>
          <w:sz w:val="24"/>
          <w:szCs w:val="24"/>
        </w:rPr>
        <w:t>,</w:t>
      </w:r>
      <w:r w:rsidR="00B96473" w:rsidRPr="0034540D">
        <w:rPr>
          <w:rFonts w:ascii="Times New Roman" w:hAnsi="Times New Roman" w:cs="Times New Roman"/>
          <w:sz w:val="24"/>
          <w:szCs w:val="24"/>
        </w:rPr>
        <w:t xml:space="preserve"> </w:t>
      </w:r>
      <w:r w:rsidRPr="0034540D">
        <w:rPr>
          <w:rFonts w:ascii="Times New Roman" w:hAnsi="Times New Roman" w:cs="Times New Roman"/>
          <w:sz w:val="24"/>
          <w:szCs w:val="24"/>
        </w:rPr>
        <w:t>notamment des chèques de voyage, des chèques de</w:t>
      </w:r>
      <w:r w:rsidR="00B96473" w:rsidRPr="0034540D">
        <w:rPr>
          <w:rFonts w:ascii="Times New Roman" w:hAnsi="Times New Roman" w:cs="Times New Roman"/>
          <w:sz w:val="24"/>
          <w:szCs w:val="24"/>
        </w:rPr>
        <w:t xml:space="preserve"> </w:t>
      </w:r>
      <w:r w:rsidRPr="0034540D">
        <w:rPr>
          <w:rFonts w:ascii="Times New Roman" w:hAnsi="Times New Roman" w:cs="Times New Roman"/>
          <w:sz w:val="24"/>
          <w:szCs w:val="24"/>
        </w:rPr>
        <w:t>banque à encaisser, des billets de banques étrangers</w:t>
      </w:r>
      <w:r w:rsidR="00861990" w:rsidRPr="0034540D">
        <w:rPr>
          <w:rFonts w:ascii="Times New Roman" w:hAnsi="Times New Roman" w:cs="Times New Roman"/>
          <w:sz w:val="24"/>
          <w:szCs w:val="24"/>
        </w:rPr>
        <w:t xml:space="preserve"> </w:t>
      </w:r>
      <w:r w:rsidRPr="0034540D">
        <w:rPr>
          <w:rFonts w:ascii="Times New Roman" w:hAnsi="Times New Roman" w:cs="Times New Roman"/>
          <w:sz w:val="24"/>
          <w:szCs w:val="24"/>
        </w:rPr>
        <w:t>ainsi que des valeurs mobilières nationales ou</w:t>
      </w:r>
      <w:r w:rsidR="00B96473"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étrangères, est soumise à </w:t>
      </w:r>
      <w:r w:rsidR="00B96473" w:rsidRPr="0034540D">
        <w:rPr>
          <w:rFonts w:ascii="Times New Roman" w:hAnsi="Times New Roman" w:cs="Times New Roman"/>
          <w:sz w:val="24"/>
          <w:szCs w:val="24"/>
        </w:rPr>
        <w:t xml:space="preserve"> </w:t>
      </w:r>
      <w:r w:rsidRPr="0034540D">
        <w:rPr>
          <w:rFonts w:ascii="Times New Roman" w:hAnsi="Times New Roman" w:cs="Times New Roman"/>
          <w:sz w:val="24"/>
          <w:szCs w:val="24"/>
        </w:rPr>
        <w:t>l’autorisation préalable de</w:t>
      </w:r>
      <w:r w:rsidR="00B96473" w:rsidRPr="0034540D">
        <w:rPr>
          <w:rFonts w:ascii="Times New Roman" w:hAnsi="Times New Roman" w:cs="Times New Roman"/>
          <w:sz w:val="24"/>
          <w:szCs w:val="24"/>
        </w:rPr>
        <w:t xml:space="preserve">  </w:t>
      </w:r>
      <w:r w:rsidRPr="0034540D">
        <w:rPr>
          <w:rFonts w:ascii="Times New Roman" w:hAnsi="Times New Roman" w:cs="Times New Roman"/>
          <w:sz w:val="24"/>
          <w:szCs w:val="24"/>
        </w:rPr>
        <w:t>la Direction chargée des Finances Extérieures</w:t>
      </w:r>
      <w:r w:rsidR="00B96473" w:rsidRPr="0034540D">
        <w:rPr>
          <w:rFonts w:ascii="Times New Roman" w:hAnsi="Times New Roman" w:cs="Times New Roman"/>
          <w:sz w:val="24"/>
          <w:szCs w:val="24"/>
        </w:rPr>
        <w:t xml:space="preserve">, autorisation devant être </w:t>
      </w:r>
      <w:r w:rsidRPr="0034540D">
        <w:rPr>
          <w:rFonts w:ascii="Times New Roman" w:hAnsi="Times New Roman" w:cs="Times New Roman"/>
          <w:sz w:val="24"/>
          <w:szCs w:val="24"/>
        </w:rPr>
        <w:t xml:space="preserve"> jointe à l’envoi.</w:t>
      </w:r>
      <w:r w:rsidR="00B96473" w:rsidRPr="0034540D">
        <w:rPr>
          <w:rFonts w:ascii="Times New Roman" w:hAnsi="Times New Roman" w:cs="Times New Roman"/>
          <w:sz w:val="24"/>
          <w:szCs w:val="24"/>
        </w:rPr>
        <w:t xml:space="preserve"> C’est ainsi que les envois et réceptions de billets de banque émis par la BCEAO entre toute autre personne physique ou morale </w:t>
      </w:r>
      <w:r w:rsidR="00861990" w:rsidRPr="0034540D">
        <w:rPr>
          <w:rFonts w:ascii="Times New Roman" w:hAnsi="Times New Roman" w:cs="Times New Roman"/>
          <w:sz w:val="24"/>
          <w:szCs w:val="24"/>
        </w:rPr>
        <w:t xml:space="preserve"> </w:t>
      </w:r>
      <w:r w:rsidR="00B96473" w:rsidRPr="0034540D">
        <w:rPr>
          <w:rFonts w:ascii="Times New Roman" w:hAnsi="Times New Roman" w:cs="Times New Roman"/>
          <w:sz w:val="24"/>
          <w:szCs w:val="24"/>
        </w:rPr>
        <w:t>résidente, autre que la BCEAO, et ses correspondants bancaires ou commerciaux situés à l’extérieur des Etats membres de l’UEMOA, sont interdits sauf dérogation accordée dans certaines conditions à la BCEAO et aux intermédiaires  agrées.</w:t>
      </w:r>
    </w:p>
    <w:p w:rsidR="00F171C8" w:rsidRPr="0034540D" w:rsidRDefault="00F171C8" w:rsidP="001E5084">
      <w:pPr>
        <w:pStyle w:val="Paragraphedeliste"/>
        <w:tabs>
          <w:tab w:val="left" w:pos="142"/>
          <w:tab w:val="left" w:pos="567"/>
          <w:tab w:val="left" w:pos="709"/>
        </w:tabs>
        <w:autoSpaceDE w:val="0"/>
        <w:autoSpaceDN w:val="0"/>
        <w:adjustRightInd w:val="0"/>
        <w:spacing w:after="0" w:line="240" w:lineRule="auto"/>
        <w:rPr>
          <w:rFonts w:ascii="Times New Roman" w:hAnsi="Times New Roman" w:cs="Times New Roman"/>
          <w:sz w:val="24"/>
          <w:szCs w:val="24"/>
          <w:highlight w:val="yellow"/>
        </w:rPr>
      </w:pPr>
    </w:p>
    <w:p w:rsidR="007822B1" w:rsidRPr="0034540D" w:rsidRDefault="007822B1" w:rsidP="001E5084">
      <w:pPr>
        <w:pStyle w:val="Paragraphedeliste"/>
        <w:numPr>
          <w:ilvl w:val="0"/>
          <w:numId w:val="11"/>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Les opérations soumises à domiciliation : les </w:t>
      </w:r>
      <w:r w:rsidRPr="0034540D">
        <w:rPr>
          <w:rFonts w:ascii="Times New Roman" w:hAnsi="Times New Roman" w:cs="Times New Roman"/>
          <w:sz w:val="24"/>
          <w:szCs w:val="24"/>
        </w:rPr>
        <w:t xml:space="preserve">résidents  sont tenus de domicilier </w:t>
      </w:r>
      <w:r w:rsidR="001D31DD" w:rsidRPr="0034540D">
        <w:rPr>
          <w:rFonts w:ascii="Times New Roman" w:hAnsi="Times New Roman" w:cs="Times New Roman"/>
          <w:sz w:val="24"/>
          <w:szCs w:val="24"/>
        </w:rPr>
        <w:t xml:space="preserve">   </w:t>
      </w:r>
      <w:r w:rsidRPr="0034540D">
        <w:rPr>
          <w:rFonts w:ascii="Times New Roman" w:hAnsi="Times New Roman" w:cs="Times New Roman"/>
          <w:sz w:val="24"/>
          <w:szCs w:val="24"/>
        </w:rPr>
        <w:t>auprès d’un intermédiaire agrée leurs opérations d’importation et d’exportation</w:t>
      </w:r>
    </w:p>
    <w:p w:rsidR="00DA2AE2" w:rsidRPr="0034540D" w:rsidRDefault="007822B1" w:rsidP="001E5084">
      <w:pPr>
        <w:pStyle w:val="Paragraphedeliste"/>
        <w:numPr>
          <w:ilvl w:val="0"/>
          <w:numId w:val="26"/>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sz w:val="24"/>
          <w:szCs w:val="24"/>
        </w:rPr>
      </w:pPr>
      <w:r w:rsidRPr="0034540D">
        <w:rPr>
          <w:rFonts w:ascii="Times New Roman" w:hAnsi="Times New Roman" w:cs="Times New Roman"/>
          <w:b/>
          <w:sz w:val="24"/>
          <w:szCs w:val="24"/>
        </w:rPr>
        <w:t xml:space="preserve">Pour les opérations </w:t>
      </w:r>
      <w:r w:rsidR="00DA2AE2" w:rsidRPr="0034540D">
        <w:rPr>
          <w:rFonts w:ascii="Times New Roman" w:hAnsi="Times New Roman" w:cs="Times New Roman"/>
          <w:b/>
          <w:sz w:val="24"/>
          <w:szCs w:val="24"/>
        </w:rPr>
        <w:t>d’importation</w:t>
      </w:r>
      <w:r w:rsidRPr="0034540D">
        <w:rPr>
          <w:rFonts w:ascii="Times New Roman" w:hAnsi="Times New Roman" w:cs="Times New Roman"/>
          <w:b/>
          <w:sz w:val="24"/>
          <w:szCs w:val="24"/>
        </w:rPr>
        <w:t> :</w:t>
      </w:r>
      <w:r w:rsidR="00DA2AE2" w:rsidRPr="0034540D">
        <w:rPr>
          <w:rFonts w:ascii="Times New Roman" w:hAnsi="Times New Roman" w:cs="Times New Roman"/>
          <w:sz w:val="24"/>
          <w:szCs w:val="24"/>
        </w:rPr>
        <w:t xml:space="preserve"> </w:t>
      </w:r>
      <w:r w:rsidR="004649F8" w:rsidRPr="0034540D">
        <w:rPr>
          <w:rFonts w:ascii="Times New Roman" w:hAnsi="Times New Roman" w:cs="Times New Roman"/>
          <w:sz w:val="24"/>
          <w:szCs w:val="24"/>
        </w:rPr>
        <w:t>Il est prévu que toute importation de marchandise  en provenance de pays autre que ceux de la zone franc, est soumise à l’obligation de domiciliation auprès d’une banque intermédiaire agrée sauf exception</w:t>
      </w:r>
      <w:r w:rsidR="004649F8" w:rsidRPr="0034540D">
        <w:rPr>
          <w:rStyle w:val="Appelnotedebasdep"/>
          <w:rFonts w:ascii="Times New Roman" w:hAnsi="Times New Roman" w:cs="Times New Roman"/>
          <w:sz w:val="24"/>
          <w:szCs w:val="24"/>
        </w:rPr>
        <w:footnoteReference w:id="26"/>
      </w:r>
      <w:r w:rsidR="004649F8"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Pour </w:t>
      </w:r>
      <w:r w:rsidR="00610E39" w:rsidRPr="0034540D">
        <w:rPr>
          <w:rFonts w:ascii="Times New Roman" w:hAnsi="Times New Roman" w:cs="Times New Roman"/>
          <w:sz w:val="24"/>
          <w:szCs w:val="24"/>
        </w:rPr>
        <w:t>l</w:t>
      </w:r>
      <w:r w:rsidRPr="0034540D">
        <w:rPr>
          <w:rFonts w:ascii="Times New Roman" w:hAnsi="Times New Roman" w:cs="Times New Roman"/>
          <w:sz w:val="24"/>
          <w:szCs w:val="24"/>
        </w:rPr>
        <w:t>es opérations relevant de ce régime, l’importateur doit soumettre à l’intermédiaire agréé deux (2) copies, certifiées conformes par lui, de la facture établie par son fournisseur étranger ou du contrat commercial conclu avec ce dernier.</w:t>
      </w:r>
      <w:r w:rsidR="0046216D" w:rsidRPr="0034540D">
        <w:rPr>
          <w:rFonts w:ascii="Times New Roman" w:hAnsi="Times New Roman" w:cs="Times New Roman"/>
          <w:sz w:val="24"/>
          <w:szCs w:val="24"/>
        </w:rPr>
        <w:t xml:space="preserve"> L’intermédiaire, à  son tour, appose un numéro d’ordre sur les deux (2) copies remises par l’importateur. Après avoir annoté les deux copies , l</w:t>
      </w:r>
      <w:r w:rsidRPr="0034540D">
        <w:rPr>
          <w:rFonts w:ascii="Times New Roman" w:hAnsi="Times New Roman" w:cs="Times New Roman"/>
          <w:sz w:val="24"/>
          <w:szCs w:val="24"/>
        </w:rPr>
        <w:t>’intermédiaire agréé, restitue une</w:t>
      </w:r>
      <w:r w:rsidR="00861990" w:rsidRPr="0034540D">
        <w:rPr>
          <w:rFonts w:ascii="Times New Roman" w:hAnsi="Times New Roman" w:cs="Times New Roman"/>
          <w:sz w:val="24"/>
          <w:szCs w:val="24"/>
        </w:rPr>
        <w:t xml:space="preserve"> copie </w:t>
      </w:r>
      <w:r w:rsidRPr="0034540D">
        <w:rPr>
          <w:rFonts w:ascii="Times New Roman" w:hAnsi="Times New Roman" w:cs="Times New Roman"/>
          <w:sz w:val="24"/>
          <w:szCs w:val="24"/>
        </w:rPr>
        <w:t xml:space="preserve"> à l’importateur et verse</w:t>
      </w:r>
      <w:r w:rsidR="0046216D" w:rsidRPr="0034540D">
        <w:rPr>
          <w:rFonts w:ascii="Times New Roman" w:hAnsi="Times New Roman" w:cs="Times New Roman"/>
          <w:sz w:val="24"/>
          <w:szCs w:val="24"/>
        </w:rPr>
        <w:t xml:space="preserve"> </w:t>
      </w:r>
      <w:r w:rsidRPr="0034540D">
        <w:rPr>
          <w:rFonts w:ascii="Times New Roman" w:hAnsi="Times New Roman" w:cs="Times New Roman"/>
          <w:sz w:val="24"/>
          <w:szCs w:val="24"/>
        </w:rPr>
        <w:t>l’autre à un dossier de domiciliation qu’il ouvre</w:t>
      </w:r>
      <w:r w:rsidR="0046216D" w:rsidRPr="0034540D">
        <w:rPr>
          <w:rFonts w:ascii="Times New Roman" w:hAnsi="Times New Roman" w:cs="Times New Roman"/>
          <w:sz w:val="24"/>
          <w:szCs w:val="24"/>
        </w:rPr>
        <w:t xml:space="preserve"> </w:t>
      </w:r>
      <w:r w:rsidRPr="0034540D">
        <w:rPr>
          <w:rFonts w:ascii="Times New Roman" w:hAnsi="Times New Roman" w:cs="Times New Roman"/>
          <w:sz w:val="24"/>
          <w:szCs w:val="24"/>
        </w:rPr>
        <w:t>au nom de l’importateur et reprenant le numéro</w:t>
      </w:r>
      <w:r w:rsidR="007E0132" w:rsidRPr="0034540D">
        <w:rPr>
          <w:rFonts w:ascii="Times New Roman" w:hAnsi="Times New Roman" w:cs="Times New Roman"/>
          <w:sz w:val="24"/>
          <w:szCs w:val="24"/>
        </w:rPr>
        <w:t xml:space="preserve"> </w:t>
      </w:r>
      <w:r w:rsidRPr="0034540D">
        <w:rPr>
          <w:rFonts w:ascii="Times New Roman" w:hAnsi="Times New Roman" w:cs="Times New Roman"/>
          <w:sz w:val="24"/>
          <w:szCs w:val="24"/>
        </w:rPr>
        <w:t>d’ordre affecté à l’opération.</w:t>
      </w:r>
      <w:r w:rsidR="0046216D" w:rsidRPr="0034540D">
        <w:rPr>
          <w:rFonts w:ascii="Times New Roman" w:hAnsi="Times New Roman" w:cs="Times New Roman"/>
          <w:sz w:val="24"/>
          <w:szCs w:val="24"/>
        </w:rPr>
        <w:t xml:space="preserve"> L’un des titre</w:t>
      </w:r>
      <w:r w:rsidR="001D31DD" w:rsidRPr="0034540D">
        <w:rPr>
          <w:rFonts w:ascii="Times New Roman" w:hAnsi="Times New Roman" w:cs="Times New Roman"/>
          <w:sz w:val="24"/>
          <w:szCs w:val="24"/>
        </w:rPr>
        <w:t>s</w:t>
      </w:r>
      <w:r w:rsidR="0046216D" w:rsidRPr="0034540D">
        <w:rPr>
          <w:rFonts w:ascii="Times New Roman" w:hAnsi="Times New Roman" w:cs="Times New Roman"/>
          <w:sz w:val="24"/>
          <w:szCs w:val="24"/>
        </w:rPr>
        <w:t xml:space="preserve"> d’importation remis à l’importateur doit être transmis par ses soins à la banque domiciliataire. </w:t>
      </w:r>
    </w:p>
    <w:p w:rsidR="00BF18B7" w:rsidRPr="0034540D" w:rsidRDefault="00BF18B7" w:rsidP="001E5084">
      <w:pPr>
        <w:pStyle w:val="Paragraphedeliste"/>
        <w:numPr>
          <w:ilvl w:val="0"/>
          <w:numId w:val="26"/>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Pour les opérations  d’exportations : </w:t>
      </w:r>
      <w:r w:rsidRPr="0034540D">
        <w:rPr>
          <w:rFonts w:ascii="Times New Roman" w:hAnsi="Times New Roman" w:cs="Times New Roman"/>
          <w:sz w:val="24"/>
          <w:szCs w:val="24"/>
        </w:rPr>
        <w:t>elles sont soumises à la procédure de domiciliation auprès d’un intermédiaire agrée lorsque leur montant excède dix (10 000 000) de francs FCA  sauf pour es exportations contre remboursement faites par l’intermédiaire de l’Administration ou l’Office des Postes, les exportations à caractère particulier énumérées à l’Annexe VI  du Règlement 09/2010/CM/UEMOA et des exportations sans paiement. Pour ce faire,</w:t>
      </w:r>
      <w:r w:rsidR="007E0132"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l’exportateur </w:t>
      </w:r>
      <w:r w:rsidR="007E0132" w:rsidRPr="0034540D">
        <w:rPr>
          <w:rFonts w:ascii="Times New Roman" w:hAnsi="Times New Roman" w:cs="Times New Roman"/>
          <w:sz w:val="24"/>
          <w:szCs w:val="24"/>
        </w:rPr>
        <w:t xml:space="preserve"> remet à la banque un engagement de change conforme au modèle défini et une copie certifiée conforme du contrat commercial ou tout document tenant lieu. Il doit en outre établir en quatre exemplaires  un titre d’exportation pour  chacune des expéditions effectuées </w:t>
      </w:r>
      <w:r w:rsidR="007E0132" w:rsidRPr="0034540D">
        <w:rPr>
          <w:rFonts w:ascii="Times New Roman" w:hAnsi="Times New Roman" w:cs="Times New Roman"/>
          <w:sz w:val="24"/>
          <w:szCs w:val="24"/>
        </w:rPr>
        <w:lastRenderedPageBreak/>
        <w:t>par lui, titres sont soumis à la banque domiciliataire  qui, après s’être assurée de la régularité des indications qui y sont  portées,  y porte le numéro du dossier de domiciliation, son cachet et la signature d’un agent habilité à engager la banque. Les quatre (4) exemplaires du titre sont remis à l’exportateur pour être présentés au Service des Douanes en même temps que les marchandises exportées. Pour  les exportations sur l’étranger ne donnant pas lieu à paiement, les titres d’expo</w:t>
      </w:r>
      <w:r w:rsidR="00DB76CB" w:rsidRPr="0034540D">
        <w:rPr>
          <w:rFonts w:ascii="Times New Roman" w:hAnsi="Times New Roman" w:cs="Times New Roman"/>
          <w:sz w:val="24"/>
          <w:szCs w:val="24"/>
        </w:rPr>
        <w:t>rtation</w:t>
      </w:r>
      <w:r w:rsidR="007E0132" w:rsidRPr="0034540D">
        <w:rPr>
          <w:rFonts w:ascii="Times New Roman" w:hAnsi="Times New Roman" w:cs="Times New Roman"/>
          <w:sz w:val="24"/>
          <w:szCs w:val="24"/>
        </w:rPr>
        <w:t>, sont présentés au visa préalable de la Direction chargée</w:t>
      </w:r>
      <w:r w:rsidR="001D31DD" w:rsidRPr="0034540D">
        <w:rPr>
          <w:rFonts w:ascii="Times New Roman" w:hAnsi="Times New Roman" w:cs="Times New Roman"/>
          <w:sz w:val="24"/>
          <w:szCs w:val="24"/>
        </w:rPr>
        <w:t xml:space="preserve"> </w:t>
      </w:r>
      <w:r w:rsidR="007E0132" w:rsidRPr="0034540D">
        <w:rPr>
          <w:rFonts w:ascii="Times New Roman" w:hAnsi="Times New Roman" w:cs="Times New Roman"/>
          <w:sz w:val="24"/>
          <w:szCs w:val="24"/>
        </w:rPr>
        <w:t>des Finances Extérieures.</w:t>
      </w:r>
    </w:p>
    <w:p w:rsidR="002A4479" w:rsidRPr="0034540D" w:rsidRDefault="002A4479" w:rsidP="001E5084">
      <w:pPr>
        <w:pStyle w:val="Paragraphedeliste"/>
        <w:numPr>
          <w:ilvl w:val="0"/>
          <w:numId w:val="11"/>
        </w:numPr>
        <w:tabs>
          <w:tab w:val="left" w:pos="142"/>
          <w:tab w:val="left" w:pos="567"/>
          <w:tab w:val="left" w:pos="709"/>
        </w:tabs>
        <w:autoSpaceDE w:val="0"/>
        <w:autoSpaceDN w:val="0"/>
        <w:adjustRightInd w:val="0"/>
        <w:spacing w:after="0" w:line="360" w:lineRule="auto"/>
        <w:ind w:left="709"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 l’ouverture  de comptes intérieurs en devises pour les résidents   et celle de comptes de résidents à l’étranger au profit d’une personne physique ou morale </w:t>
      </w:r>
      <w:r w:rsidRPr="0034540D">
        <w:rPr>
          <w:rFonts w:ascii="Times New Roman" w:hAnsi="Times New Roman" w:cs="Times New Roman"/>
          <w:sz w:val="24"/>
          <w:szCs w:val="24"/>
        </w:rPr>
        <w:t>sont soumises à l’autorisation du Ministre chargé des Finances.  Toutefois, il ya lieu e préciser que ces autorisations sont données  par le ministre chargé des finances après avis conforme de la BCEAO</w:t>
      </w:r>
      <w:r w:rsidR="00D22DC0" w:rsidRPr="0034540D">
        <w:rPr>
          <w:rFonts w:ascii="Times New Roman" w:hAnsi="Times New Roman" w:cs="Times New Roman"/>
          <w:sz w:val="24"/>
          <w:szCs w:val="24"/>
        </w:rPr>
        <w:t>. C’est dire que le Ministre est tenu de suivre l’avis donné par la BCEAO.</w:t>
      </w:r>
      <w:r w:rsidRPr="0034540D">
        <w:rPr>
          <w:rFonts w:ascii="Times New Roman" w:hAnsi="Times New Roman" w:cs="Times New Roman"/>
          <w:b/>
          <w:sz w:val="24"/>
          <w:szCs w:val="24"/>
        </w:rPr>
        <w:t xml:space="preserve"> </w:t>
      </w:r>
    </w:p>
    <w:p w:rsidR="007822B1" w:rsidRPr="0034540D" w:rsidRDefault="007822B1" w:rsidP="001E5084">
      <w:pPr>
        <w:pStyle w:val="Paragraphedeliste"/>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p>
    <w:p w:rsidR="00DA2AE2" w:rsidRPr="0034540D" w:rsidRDefault="00DA2AE2" w:rsidP="001E5084">
      <w:pPr>
        <w:pStyle w:val="Paragraphedeliste"/>
        <w:numPr>
          <w:ilvl w:val="0"/>
          <w:numId w:val="10"/>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Pour les opérations en capital : pour ces types d’opérations il y a lieu de distinguer :</w:t>
      </w:r>
    </w:p>
    <w:p w:rsidR="00DA2AE2" w:rsidRPr="0034540D" w:rsidRDefault="00DA2AE2" w:rsidP="001E5084">
      <w:pPr>
        <w:pStyle w:val="Paragraphedeliste"/>
        <w:numPr>
          <w:ilvl w:val="0"/>
          <w:numId w:val="9"/>
        </w:numPr>
        <w:tabs>
          <w:tab w:val="left" w:pos="142"/>
          <w:tab w:val="left" w:pos="567"/>
          <w:tab w:val="left" w:pos="709"/>
        </w:tabs>
        <w:autoSpaceDE w:val="0"/>
        <w:autoSpaceDN w:val="0"/>
        <w:adjustRightInd w:val="0"/>
        <w:spacing w:before="100" w:beforeAutospacing="1" w:after="0" w:afterAutospacing="1" w:line="360" w:lineRule="auto"/>
        <w:ind w:left="0" w:firstLine="0"/>
        <w:jc w:val="both"/>
        <w:rPr>
          <w:rFonts w:ascii="Times New Roman" w:hAnsi="Times New Roman" w:cs="Times New Roman"/>
          <w:sz w:val="24"/>
          <w:szCs w:val="24"/>
        </w:rPr>
      </w:pPr>
      <w:r w:rsidRPr="0034540D">
        <w:rPr>
          <w:rFonts w:ascii="Times New Roman" w:hAnsi="Times New Roman" w:cs="Times New Roman"/>
          <w:b/>
          <w:sz w:val="24"/>
          <w:szCs w:val="24"/>
        </w:rPr>
        <w:t xml:space="preserve">Les paiements à destination de l’étranger : </w:t>
      </w:r>
      <w:r w:rsidRPr="0034540D">
        <w:rPr>
          <w:rFonts w:ascii="Times New Roman" w:hAnsi="Times New Roman" w:cs="Times New Roman"/>
          <w:sz w:val="24"/>
          <w:szCs w:val="24"/>
        </w:rPr>
        <w:t>qui sont constitués des transferts du  produit de la liquidation d’investissements, des ventes des valeurs mobilières étrangères par les non résidents, du remboursement de dettes contractuelles (remboursement de crédits à court terme finançant les opérations commerciales et industrielles). Ces opérations sont exécutées par un intermédiaire agréé sur présentation des pièces justificatives. Les opérations,  autres que celles sus énumérées,  sont soumises à l’autorisation du Ministre chargé des Finances   et sur présentation  des pièces  attestant de la nature et de la réalité de l’opération.</w:t>
      </w:r>
    </w:p>
    <w:p w:rsidR="007C7DFC" w:rsidRPr="0034540D" w:rsidRDefault="00DA2AE2" w:rsidP="001E5084">
      <w:pPr>
        <w:pStyle w:val="Paragraphedeliste"/>
        <w:numPr>
          <w:ilvl w:val="0"/>
          <w:numId w:val="9"/>
        </w:numPr>
        <w:tabs>
          <w:tab w:val="left" w:pos="142"/>
          <w:tab w:val="left" w:pos="567"/>
          <w:tab w:val="left" w:pos="709"/>
        </w:tabs>
        <w:autoSpaceDE w:val="0"/>
        <w:autoSpaceDN w:val="0"/>
        <w:adjustRightInd w:val="0"/>
        <w:spacing w:before="100" w:beforeAutospacing="1" w:after="0" w:afterAutospacing="1"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Les investissements d’un résident à l’étranger  </w:t>
      </w:r>
      <w:r w:rsidR="00981B5D" w:rsidRPr="0034540D">
        <w:rPr>
          <w:rFonts w:ascii="Times New Roman" w:hAnsi="Times New Roman" w:cs="Times New Roman"/>
          <w:sz w:val="24"/>
          <w:szCs w:val="24"/>
        </w:rPr>
        <w:t xml:space="preserve">qui </w:t>
      </w:r>
      <w:r w:rsidRPr="0034540D">
        <w:rPr>
          <w:rFonts w:ascii="Times New Roman" w:hAnsi="Times New Roman" w:cs="Times New Roman"/>
          <w:sz w:val="24"/>
          <w:szCs w:val="24"/>
        </w:rPr>
        <w:t>sont soumises à une demande d’autorisation de change  au Ministre chargé des Finances sous forme de lettre suivant un  modèle défini dans l’Annexe II au Règlement.   il s’agit de la</w:t>
      </w:r>
      <w:r w:rsidRPr="0034540D">
        <w:rPr>
          <w:rFonts w:ascii="Times New Roman" w:hAnsi="Times New Roman" w:cs="Times New Roman"/>
          <w:b/>
          <w:sz w:val="24"/>
          <w:szCs w:val="24"/>
        </w:rPr>
        <w:t xml:space="preserve"> </w:t>
      </w:r>
      <w:r w:rsidRPr="0034540D">
        <w:rPr>
          <w:rFonts w:ascii="Times New Roman" w:eastAsia="Times New Roman" w:hAnsi="Times New Roman" w:cs="Times New Roman"/>
          <w:color w:val="222222"/>
          <w:sz w:val="24"/>
          <w:szCs w:val="24"/>
          <w:lang w:eastAsia="fr-FR"/>
        </w:rPr>
        <w:t xml:space="preserve">souscription au capital initial lors de la création d’une société,  de  la prise ou l’extension de participation dans une société existante, </w:t>
      </w:r>
      <w:r w:rsidRPr="0034540D">
        <w:rPr>
          <w:rFonts w:ascii="Times New Roman" w:hAnsi="Times New Roman" w:cs="Times New Roman"/>
          <w:sz w:val="24"/>
          <w:szCs w:val="24"/>
        </w:rPr>
        <w:t>de la création,  de l’acquisition ou de  l’extension d’un établissement non doté de la personnalité morale, de  l’octroi de prêt, d’avance, de caution ou de garantie, et de l’acquisition de créances.</w:t>
      </w:r>
      <w:r w:rsidRPr="0034540D">
        <w:rPr>
          <w:rFonts w:ascii="Times New Roman" w:eastAsia="Times New Roman" w:hAnsi="Times New Roman" w:cs="Times New Roman"/>
          <w:color w:val="222222"/>
          <w:sz w:val="24"/>
          <w:szCs w:val="24"/>
          <w:lang w:eastAsia="fr-FR"/>
        </w:rPr>
        <w:t xml:space="preserve"> Il faut préciser  que cet investissement doit être financé à hauteur de 75% par des emprunts étrangers.</w:t>
      </w:r>
    </w:p>
    <w:p w:rsidR="00DA2AE2" w:rsidRPr="0034540D" w:rsidRDefault="00DA2AE2" w:rsidP="001E5084">
      <w:pPr>
        <w:pStyle w:val="Paragraphedeliste"/>
        <w:numPr>
          <w:ilvl w:val="0"/>
          <w:numId w:val="9"/>
        </w:numPr>
        <w:tabs>
          <w:tab w:val="left" w:pos="142"/>
          <w:tab w:val="left" w:pos="567"/>
          <w:tab w:val="left" w:pos="709"/>
        </w:tabs>
        <w:autoSpaceDE w:val="0"/>
        <w:autoSpaceDN w:val="0"/>
        <w:adjustRightInd w:val="0"/>
        <w:spacing w:before="100" w:beforeAutospacing="1" w:after="0" w:afterAutospacing="1"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lastRenderedPageBreak/>
        <w:t xml:space="preserve">En matière d’importation et d’exportation d’or : </w:t>
      </w:r>
      <w:r w:rsidRPr="0034540D">
        <w:rPr>
          <w:rFonts w:ascii="Times New Roman" w:hAnsi="Times New Roman" w:cs="Times New Roman"/>
          <w:sz w:val="24"/>
          <w:szCs w:val="24"/>
        </w:rPr>
        <w:t>l’importation et l’exportation d’or en provenance ou à destination de l’étranger</w:t>
      </w:r>
      <w:r w:rsidRPr="0034540D">
        <w:rPr>
          <w:rFonts w:ascii="Times New Roman" w:hAnsi="Times New Roman" w:cs="Times New Roman"/>
          <w:b/>
          <w:sz w:val="24"/>
          <w:szCs w:val="24"/>
        </w:rPr>
        <w:t xml:space="preserve"> </w:t>
      </w:r>
      <w:r w:rsidRPr="0034540D">
        <w:rPr>
          <w:rFonts w:ascii="Times New Roman" w:hAnsi="Times New Roman" w:cs="Times New Roman"/>
          <w:sz w:val="24"/>
          <w:szCs w:val="24"/>
        </w:rPr>
        <w:t xml:space="preserve">sont soumises à l’autorisation préalable du Ministre chargé des Finances sauf dans 5 certains cas limitativement énumérés  par l’article </w:t>
      </w:r>
      <w:r w:rsidR="007C7DFC" w:rsidRPr="0034540D">
        <w:rPr>
          <w:rFonts w:ascii="Times New Roman" w:hAnsi="Times New Roman" w:cs="Times New Roman"/>
          <w:sz w:val="24"/>
          <w:szCs w:val="24"/>
        </w:rPr>
        <w:t xml:space="preserve">9 du Règlement </w:t>
      </w:r>
      <w:r w:rsidR="007C7DFC" w:rsidRPr="0034540D">
        <w:rPr>
          <w:rFonts w:ascii="Times New Roman" w:hAnsi="Times New Roman" w:cs="Times New Roman"/>
          <w:sz w:val="24"/>
          <w:szCs w:val="24"/>
          <w:highlight w:val="yellow"/>
        </w:rPr>
        <w:t>09</w:t>
      </w:r>
      <w:r w:rsidR="007C7DFC" w:rsidRPr="0034540D">
        <w:rPr>
          <w:rFonts w:ascii="Times New Roman" w:hAnsi="Times New Roman" w:cs="Times New Roman"/>
          <w:sz w:val="24"/>
          <w:szCs w:val="24"/>
        </w:rPr>
        <w:t>/2010/CM/UEMOA que sont les importations ou exportations d’or effectuées par le Trésor public ou la BCEAO ; l’importation ou l’exportation d’articles dans la fabrication desquels entre une faible quantité d’or, notamment les objets doublés ou plaqués d’or, tissés avec fils en métal, etc. ;</w:t>
      </w:r>
      <w:r w:rsidR="007C7DFC" w:rsidRPr="0034540D">
        <w:rPr>
          <w:rFonts w:ascii="Times New Roman" w:hAnsi="Times New Roman" w:cs="Times New Roman"/>
          <w:sz w:val="24"/>
          <w:szCs w:val="24"/>
        </w:rPr>
        <w:tab/>
        <w:t>l’importation ou l’exportation, par des voyageurs, d’objets en or dans la limite d’un poids maximum de cinq cent (500) grammes.</w:t>
      </w:r>
    </w:p>
    <w:p w:rsidR="00131E4A" w:rsidRPr="0034540D" w:rsidRDefault="00131E4A" w:rsidP="001E5084">
      <w:pPr>
        <w:pStyle w:val="Paragraphedeliste"/>
        <w:tabs>
          <w:tab w:val="left" w:pos="142"/>
          <w:tab w:val="left" w:pos="567"/>
          <w:tab w:val="left" w:pos="709"/>
        </w:tabs>
        <w:autoSpaceDE w:val="0"/>
        <w:autoSpaceDN w:val="0"/>
        <w:adjustRightInd w:val="0"/>
        <w:spacing w:before="100" w:beforeAutospacing="1" w:after="0" w:afterAutospacing="1" w:line="360" w:lineRule="auto"/>
        <w:ind w:left="0"/>
        <w:jc w:val="both"/>
        <w:rPr>
          <w:rFonts w:ascii="Times New Roman" w:hAnsi="Times New Roman" w:cs="Times New Roman"/>
          <w:b/>
          <w:sz w:val="24"/>
          <w:szCs w:val="24"/>
        </w:rPr>
      </w:pPr>
      <w:r w:rsidRPr="0034540D">
        <w:rPr>
          <w:rFonts w:ascii="Times New Roman" w:hAnsi="Times New Roman" w:cs="Times New Roman"/>
          <w:b/>
          <w:sz w:val="24"/>
          <w:szCs w:val="24"/>
        </w:rPr>
        <w:t>Cour de Cassation, arrêt n°29 du 7 octobre 2003, Ministère Public- Administration des douanes c/ Demba  Ibrahima DIOUM</w:t>
      </w:r>
    </w:p>
    <w:p w:rsidR="00131E4A" w:rsidRPr="0034540D" w:rsidRDefault="00131E4A" w:rsidP="001E5084">
      <w:pPr>
        <w:pStyle w:val="Paragraphedeliste"/>
        <w:tabs>
          <w:tab w:val="left" w:pos="142"/>
          <w:tab w:val="left" w:pos="567"/>
          <w:tab w:val="left" w:pos="709"/>
        </w:tabs>
        <w:autoSpaceDE w:val="0"/>
        <w:autoSpaceDN w:val="0"/>
        <w:adjustRightInd w:val="0"/>
        <w:spacing w:before="100" w:beforeAutospacing="1" w:after="0" w:afterAutospacing="1" w:line="360" w:lineRule="auto"/>
        <w:ind w:left="0"/>
        <w:jc w:val="both"/>
        <w:rPr>
          <w:rFonts w:ascii="Times New Roman" w:hAnsi="Times New Roman" w:cs="Times New Roman"/>
          <w:b/>
          <w:sz w:val="24"/>
          <w:szCs w:val="24"/>
        </w:rPr>
      </w:pPr>
      <w:r w:rsidRPr="0034540D">
        <w:rPr>
          <w:rFonts w:ascii="Times New Roman" w:hAnsi="Times New Roman" w:cs="Times New Roman"/>
          <w:b/>
          <w:sz w:val="24"/>
          <w:szCs w:val="24"/>
        </w:rPr>
        <w:t>« </w:t>
      </w:r>
      <w:r w:rsidRPr="0034540D">
        <w:rPr>
          <w:rFonts w:ascii="Times New Roman" w:hAnsi="Times New Roman" w:cs="Times New Roman"/>
          <w:i/>
          <w:sz w:val="24"/>
          <w:szCs w:val="24"/>
        </w:rPr>
        <w:t>attendu que le</w:t>
      </w:r>
      <w:r w:rsidR="003F7A12" w:rsidRPr="0034540D">
        <w:rPr>
          <w:rFonts w:ascii="Times New Roman" w:hAnsi="Times New Roman" w:cs="Times New Roman"/>
          <w:i/>
          <w:sz w:val="24"/>
          <w:szCs w:val="24"/>
        </w:rPr>
        <w:t xml:space="preserve"> </w:t>
      </w:r>
      <w:r w:rsidRPr="0034540D">
        <w:rPr>
          <w:rFonts w:ascii="Times New Roman" w:hAnsi="Times New Roman" w:cs="Times New Roman"/>
          <w:i/>
          <w:sz w:val="24"/>
          <w:szCs w:val="24"/>
        </w:rPr>
        <w:t>pourvoi</w:t>
      </w:r>
      <w:r w:rsidR="003F7A12" w:rsidRPr="0034540D">
        <w:rPr>
          <w:rFonts w:ascii="Times New Roman" w:hAnsi="Times New Roman" w:cs="Times New Roman"/>
          <w:i/>
          <w:sz w:val="24"/>
          <w:szCs w:val="24"/>
        </w:rPr>
        <w:t xml:space="preserve"> avait, se</w:t>
      </w:r>
      <w:r w:rsidR="00A329A5" w:rsidRPr="0034540D">
        <w:rPr>
          <w:rFonts w:ascii="Times New Roman" w:hAnsi="Times New Roman" w:cs="Times New Roman"/>
          <w:i/>
          <w:sz w:val="24"/>
          <w:szCs w:val="24"/>
        </w:rPr>
        <w:t>l</w:t>
      </w:r>
      <w:r w:rsidR="003F7A12" w:rsidRPr="0034540D">
        <w:rPr>
          <w:rFonts w:ascii="Times New Roman" w:hAnsi="Times New Roman" w:cs="Times New Roman"/>
          <w:i/>
          <w:sz w:val="24"/>
          <w:szCs w:val="24"/>
        </w:rPr>
        <w:t>on les</w:t>
      </w:r>
      <w:r w:rsidR="00A329A5" w:rsidRPr="0034540D">
        <w:rPr>
          <w:rFonts w:ascii="Times New Roman" w:hAnsi="Times New Roman" w:cs="Times New Roman"/>
          <w:i/>
          <w:sz w:val="24"/>
          <w:szCs w:val="24"/>
        </w:rPr>
        <w:t xml:space="preserve"> troisième</w:t>
      </w:r>
      <w:r w:rsidR="003F7A12" w:rsidRPr="0034540D">
        <w:rPr>
          <w:rFonts w:ascii="Times New Roman" w:hAnsi="Times New Roman" w:cs="Times New Roman"/>
          <w:i/>
          <w:sz w:val="24"/>
          <w:szCs w:val="24"/>
        </w:rPr>
        <w:t xml:space="preserve"> et </w:t>
      </w:r>
      <w:r w:rsidR="00A329A5" w:rsidRPr="0034540D">
        <w:rPr>
          <w:rFonts w:ascii="Times New Roman" w:hAnsi="Times New Roman" w:cs="Times New Roman"/>
          <w:i/>
          <w:sz w:val="24"/>
          <w:szCs w:val="24"/>
        </w:rPr>
        <w:t xml:space="preserve">quatrième </w:t>
      </w:r>
      <w:r w:rsidR="003F7A12" w:rsidRPr="0034540D">
        <w:rPr>
          <w:rFonts w:ascii="Times New Roman" w:hAnsi="Times New Roman" w:cs="Times New Roman"/>
          <w:i/>
          <w:sz w:val="24"/>
          <w:szCs w:val="24"/>
        </w:rPr>
        <w:t xml:space="preserve"> moyens </w:t>
      </w:r>
      <w:r w:rsidR="009A05E5" w:rsidRPr="0034540D">
        <w:rPr>
          <w:rFonts w:ascii="Times New Roman" w:hAnsi="Times New Roman" w:cs="Times New Roman"/>
          <w:i/>
          <w:sz w:val="24"/>
          <w:szCs w:val="24"/>
        </w:rPr>
        <w:t>réunis</w:t>
      </w:r>
      <w:r w:rsidR="003F7A12" w:rsidRPr="0034540D">
        <w:rPr>
          <w:rFonts w:ascii="Times New Roman" w:hAnsi="Times New Roman" w:cs="Times New Roman"/>
          <w:i/>
          <w:sz w:val="24"/>
          <w:szCs w:val="24"/>
        </w:rPr>
        <w:t xml:space="preserve">, soulevé la violation des </w:t>
      </w:r>
      <w:r w:rsidR="009A05E5" w:rsidRPr="0034540D">
        <w:rPr>
          <w:rFonts w:ascii="Times New Roman" w:hAnsi="Times New Roman" w:cs="Times New Roman"/>
          <w:i/>
          <w:sz w:val="24"/>
          <w:szCs w:val="24"/>
        </w:rPr>
        <w:t>article</w:t>
      </w:r>
      <w:r w:rsidR="00A329A5" w:rsidRPr="0034540D">
        <w:rPr>
          <w:rFonts w:ascii="Times New Roman" w:hAnsi="Times New Roman" w:cs="Times New Roman"/>
          <w:i/>
          <w:sz w:val="24"/>
          <w:szCs w:val="24"/>
        </w:rPr>
        <w:t>s 208 et 312 du code des douanes, de l’arrêté n°012-588M.E.F/DGD/DERD, en ce que l’arrêt attaqué a confirmé l’ordonnance de non-lieu rendue en faveur de Cheikh Ibrahima DIOUM, inculpé de contr</w:t>
      </w:r>
      <w:r w:rsidR="009A05E5" w:rsidRPr="0034540D">
        <w:rPr>
          <w:rFonts w:ascii="Times New Roman" w:hAnsi="Times New Roman" w:cs="Times New Roman"/>
          <w:i/>
          <w:sz w:val="24"/>
          <w:szCs w:val="24"/>
        </w:rPr>
        <w:t>e</w:t>
      </w:r>
      <w:r w:rsidR="00A329A5" w:rsidRPr="0034540D">
        <w:rPr>
          <w:rFonts w:ascii="Times New Roman" w:hAnsi="Times New Roman" w:cs="Times New Roman"/>
          <w:i/>
          <w:sz w:val="24"/>
          <w:szCs w:val="24"/>
        </w:rPr>
        <w:t>bande,</w:t>
      </w:r>
      <w:r w:rsidR="009A05E5" w:rsidRPr="0034540D">
        <w:rPr>
          <w:rFonts w:ascii="Times New Roman" w:hAnsi="Times New Roman" w:cs="Times New Roman"/>
          <w:i/>
          <w:sz w:val="24"/>
          <w:szCs w:val="24"/>
        </w:rPr>
        <w:t xml:space="preserve"> </w:t>
      </w:r>
      <w:r w:rsidR="00A329A5" w:rsidRPr="0034540D">
        <w:rPr>
          <w:rFonts w:ascii="Times New Roman" w:hAnsi="Times New Roman" w:cs="Times New Roman"/>
          <w:i/>
          <w:sz w:val="24"/>
          <w:szCs w:val="24"/>
        </w:rPr>
        <w:t>au motif que les témoignages suffisent pour déterminer l’origine d</w:t>
      </w:r>
      <w:r w:rsidR="009A05E5" w:rsidRPr="0034540D">
        <w:rPr>
          <w:rFonts w:ascii="Times New Roman" w:hAnsi="Times New Roman" w:cs="Times New Roman"/>
          <w:i/>
          <w:sz w:val="24"/>
          <w:szCs w:val="24"/>
        </w:rPr>
        <w:t>e</w:t>
      </w:r>
      <w:r w:rsidR="00A329A5" w:rsidRPr="0034540D">
        <w:rPr>
          <w:rFonts w:ascii="Times New Roman" w:hAnsi="Times New Roman" w:cs="Times New Roman"/>
          <w:i/>
          <w:sz w:val="24"/>
          <w:szCs w:val="24"/>
        </w:rPr>
        <w:t>s lingots d’or saisis entre ses mains en l’absence de tout justificat</w:t>
      </w:r>
      <w:r w:rsidR="009A05E5" w:rsidRPr="0034540D">
        <w:rPr>
          <w:rFonts w:ascii="Times New Roman" w:hAnsi="Times New Roman" w:cs="Times New Roman"/>
          <w:i/>
          <w:sz w:val="24"/>
          <w:szCs w:val="24"/>
        </w:rPr>
        <w:t>i</w:t>
      </w:r>
      <w:r w:rsidR="00A329A5" w:rsidRPr="0034540D">
        <w:rPr>
          <w:rFonts w:ascii="Times New Roman" w:hAnsi="Times New Roman" w:cs="Times New Roman"/>
          <w:i/>
          <w:sz w:val="24"/>
          <w:szCs w:val="24"/>
        </w:rPr>
        <w:t>f d’</w:t>
      </w:r>
      <w:r w:rsidR="009A05E5" w:rsidRPr="0034540D">
        <w:rPr>
          <w:rFonts w:ascii="Times New Roman" w:hAnsi="Times New Roman" w:cs="Times New Roman"/>
          <w:i/>
          <w:sz w:val="24"/>
          <w:szCs w:val="24"/>
        </w:rPr>
        <w:t>origin</w:t>
      </w:r>
      <w:r w:rsidR="00A329A5" w:rsidRPr="0034540D">
        <w:rPr>
          <w:rFonts w:ascii="Times New Roman" w:hAnsi="Times New Roman" w:cs="Times New Roman"/>
          <w:i/>
          <w:sz w:val="24"/>
          <w:szCs w:val="24"/>
        </w:rPr>
        <w:t>e</w:t>
      </w:r>
      <w:r w:rsidR="009A05E5" w:rsidRPr="0034540D">
        <w:rPr>
          <w:rFonts w:ascii="Times New Roman" w:hAnsi="Times New Roman" w:cs="Times New Roman"/>
          <w:i/>
          <w:sz w:val="24"/>
          <w:szCs w:val="24"/>
        </w:rPr>
        <w:t xml:space="preserve"> </w:t>
      </w:r>
      <w:r w:rsidR="00A329A5" w:rsidRPr="0034540D">
        <w:rPr>
          <w:rFonts w:ascii="Times New Roman" w:hAnsi="Times New Roman" w:cs="Times New Roman"/>
          <w:i/>
          <w:sz w:val="24"/>
          <w:szCs w:val="24"/>
        </w:rPr>
        <w:t>,alors que les textes susvisés édictent une présomption  absolue de contr</w:t>
      </w:r>
      <w:r w:rsidR="009A05E5" w:rsidRPr="0034540D">
        <w:rPr>
          <w:rFonts w:ascii="Times New Roman" w:hAnsi="Times New Roman" w:cs="Times New Roman"/>
          <w:i/>
          <w:sz w:val="24"/>
          <w:szCs w:val="24"/>
        </w:rPr>
        <w:t>e</w:t>
      </w:r>
      <w:r w:rsidR="00A329A5" w:rsidRPr="0034540D">
        <w:rPr>
          <w:rFonts w:ascii="Times New Roman" w:hAnsi="Times New Roman" w:cs="Times New Roman"/>
          <w:i/>
          <w:sz w:val="24"/>
          <w:szCs w:val="24"/>
        </w:rPr>
        <w:t xml:space="preserve">bande, sauf cas de force majeur, à l’encontre </w:t>
      </w:r>
      <w:r w:rsidR="009A05E5" w:rsidRPr="0034540D">
        <w:rPr>
          <w:rFonts w:ascii="Times New Roman" w:hAnsi="Times New Roman" w:cs="Times New Roman"/>
          <w:i/>
          <w:sz w:val="24"/>
          <w:szCs w:val="24"/>
        </w:rPr>
        <w:t xml:space="preserve"> de ceux qui détiennent ou transportent les marchandises  spécialement   désignées par des arrêtés du Ministre chargé des Finances , s’ils n’ont, à première  réquisition des agents de douanes, produit un certificat justificatif d’origine émanant d’une autorité ou d’un organisme dûment  habilité et comportant les indications nécessaires à leur identification et certifiant sans ambigüité qu’elles sont originaires d’un pays déterminé</w:t>
      </w:r>
      <w:r w:rsidR="009A05E5" w:rsidRPr="0034540D">
        <w:rPr>
          <w:rFonts w:ascii="Times New Roman" w:hAnsi="Times New Roman" w:cs="Times New Roman"/>
          <w:b/>
          <w:sz w:val="24"/>
          <w:szCs w:val="24"/>
        </w:rPr>
        <w:t> » .</w:t>
      </w:r>
    </w:p>
    <w:p w:rsidR="009A05E5" w:rsidRPr="0034540D" w:rsidRDefault="009A05E5" w:rsidP="001E5084">
      <w:pPr>
        <w:pStyle w:val="Paragraphedeliste"/>
        <w:tabs>
          <w:tab w:val="left" w:pos="142"/>
          <w:tab w:val="left" w:pos="567"/>
          <w:tab w:val="left" w:pos="709"/>
        </w:tabs>
        <w:autoSpaceDE w:val="0"/>
        <w:autoSpaceDN w:val="0"/>
        <w:adjustRightInd w:val="0"/>
        <w:spacing w:before="100" w:beforeAutospacing="1" w:after="0" w:afterAutospacing="1" w:line="360" w:lineRule="auto"/>
        <w:ind w:left="0"/>
        <w:jc w:val="both"/>
        <w:rPr>
          <w:rFonts w:ascii="Times New Roman" w:hAnsi="Times New Roman" w:cs="Times New Roman"/>
          <w:b/>
          <w:sz w:val="24"/>
          <w:szCs w:val="24"/>
        </w:rPr>
      </w:pPr>
      <w:r w:rsidRPr="0034540D">
        <w:rPr>
          <w:rFonts w:ascii="Times New Roman" w:hAnsi="Times New Roman" w:cs="Times New Roman"/>
          <w:b/>
          <w:sz w:val="24"/>
          <w:szCs w:val="24"/>
        </w:rPr>
        <w:t>Voir annexe</w:t>
      </w:r>
      <w:r w:rsidR="00861990" w:rsidRPr="0034540D">
        <w:rPr>
          <w:rFonts w:ascii="Times New Roman" w:hAnsi="Times New Roman" w:cs="Times New Roman"/>
          <w:b/>
          <w:sz w:val="24"/>
          <w:szCs w:val="24"/>
        </w:rPr>
        <w:t xml:space="preserve"> jurisprudence</w:t>
      </w:r>
    </w:p>
    <w:p w:rsidR="00DA2AE2" w:rsidRPr="0034540D" w:rsidRDefault="00DA2AE2" w:rsidP="001E5084">
      <w:pPr>
        <w:pStyle w:val="Paragraphedeliste"/>
        <w:numPr>
          <w:ilvl w:val="0"/>
          <w:numId w:val="9"/>
        </w:numPr>
        <w:tabs>
          <w:tab w:val="left" w:pos="142"/>
          <w:tab w:val="left" w:pos="567"/>
          <w:tab w:val="left" w:pos="709"/>
        </w:tabs>
        <w:autoSpaceDE w:val="0"/>
        <w:autoSpaceDN w:val="0"/>
        <w:adjustRightInd w:val="0"/>
        <w:spacing w:before="100" w:beforeAutospacing="1" w:after="0" w:afterAutospacing="1"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Les opérations d’emprunt :</w:t>
      </w:r>
    </w:p>
    <w:p w:rsidR="00DA2AE2" w:rsidRPr="0034540D" w:rsidRDefault="00DA2AE2" w:rsidP="001E5084">
      <w:pPr>
        <w:pStyle w:val="Paragraphedeliste"/>
        <w:numPr>
          <w:ilvl w:val="0"/>
          <w:numId w:val="13"/>
        </w:numPr>
        <w:tabs>
          <w:tab w:val="left" w:pos="142"/>
          <w:tab w:val="left" w:pos="567"/>
          <w:tab w:val="left" w:pos="709"/>
        </w:tabs>
        <w:autoSpaceDE w:val="0"/>
        <w:autoSpaceDN w:val="0"/>
        <w:adjustRightInd w:val="0"/>
        <w:spacing w:before="100" w:beforeAutospacing="1" w:after="0" w:afterAutospacing="1"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Les emprunts contractés par un résident auprès d’un non résident : </w:t>
      </w:r>
      <w:r w:rsidRPr="0034540D">
        <w:rPr>
          <w:rFonts w:ascii="Times New Roman" w:hAnsi="Times New Roman" w:cs="Times New Roman"/>
          <w:sz w:val="24"/>
          <w:szCs w:val="24"/>
        </w:rPr>
        <w:t>sont réalisées par un intermédiaire agrée qui doit veiller à la régularité des opérations lorsque les sommes sont mises à disposition dans le pays du résident emprunteur.</w:t>
      </w:r>
    </w:p>
    <w:p w:rsidR="00DA2AE2" w:rsidRPr="0034540D" w:rsidRDefault="00DA2AE2" w:rsidP="001E5084">
      <w:pPr>
        <w:pStyle w:val="Paragraphedeliste"/>
        <w:numPr>
          <w:ilvl w:val="0"/>
          <w:numId w:val="13"/>
        </w:numPr>
        <w:tabs>
          <w:tab w:val="left" w:pos="142"/>
          <w:tab w:val="left" w:pos="567"/>
          <w:tab w:val="left" w:pos="709"/>
        </w:tabs>
        <w:autoSpaceDE w:val="0"/>
        <w:autoSpaceDN w:val="0"/>
        <w:adjustRightInd w:val="0"/>
        <w:spacing w:before="100" w:beforeAutospacing="1" w:after="0" w:afterAutospacing="1" w:line="360" w:lineRule="auto"/>
        <w:ind w:left="0" w:firstLine="0"/>
        <w:jc w:val="both"/>
        <w:rPr>
          <w:rFonts w:ascii="Times New Roman" w:hAnsi="Times New Roman" w:cs="Times New Roman"/>
          <w:b/>
          <w:sz w:val="24"/>
          <w:szCs w:val="24"/>
        </w:rPr>
      </w:pPr>
      <w:r w:rsidRPr="0034540D">
        <w:rPr>
          <w:rFonts w:ascii="Times New Roman" w:eastAsia="Times New Roman" w:hAnsi="Times New Roman" w:cs="Times New Roman"/>
          <w:b/>
          <w:color w:val="222222"/>
          <w:sz w:val="24"/>
          <w:szCs w:val="24"/>
          <w:lang w:eastAsia="fr-FR"/>
        </w:rPr>
        <w:t>Les prêts, découverts</w:t>
      </w:r>
      <w:r w:rsidRPr="0034540D">
        <w:rPr>
          <w:rFonts w:ascii="Times New Roman" w:eastAsia="Times New Roman" w:hAnsi="Times New Roman" w:cs="Times New Roman"/>
          <w:color w:val="222222"/>
          <w:sz w:val="24"/>
          <w:szCs w:val="24"/>
          <w:lang w:eastAsia="fr-FR"/>
        </w:rPr>
        <w:t xml:space="preserve"> en Francs  ou Euro, toute avance consentie à un non-résident sont faits par les banques locales en leur qualité </w:t>
      </w:r>
      <w:r w:rsidR="00861990" w:rsidRPr="0034540D">
        <w:rPr>
          <w:rFonts w:ascii="Times New Roman" w:eastAsia="Times New Roman" w:hAnsi="Times New Roman" w:cs="Times New Roman"/>
          <w:color w:val="222222"/>
          <w:sz w:val="24"/>
          <w:szCs w:val="24"/>
          <w:lang w:eastAsia="fr-FR"/>
        </w:rPr>
        <w:t>d</w:t>
      </w:r>
      <w:r w:rsidRPr="0034540D">
        <w:rPr>
          <w:rFonts w:ascii="Times New Roman" w:eastAsia="Times New Roman" w:hAnsi="Times New Roman" w:cs="Times New Roman"/>
          <w:color w:val="222222"/>
          <w:sz w:val="24"/>
          <w:szCs w:val="24"/>
          <w:lang w:eastAsia="fr-FR"/>
        </w:rPr>
        <w:t>‘intermédiaire agrée sur autorisation préalable du Ministre chargé des Finances.</w:t>
      </w:r>
      <w:r w:rsidRPr="0034540D">
        <w:rPr>
          <w:rFonts w:ascii="Times New Roman" w:hAnsi="Times New Roman" w:cs="Times New Roman"/>
          <w:b/>
          <w:sz w:val="24"/>
          <w:szCs w:val="24"/>
        </w:rPr>
        <w:t> </w:t>
      </w:r>
    </w:p>
    <w:p w:rsidR="00DA2AE2" w:rsidRPr="0034540D" w:rsidRDefault="00DA2AE2" w:rsidP="001E5084">
      <w:pPr>
        <w:pStyle w:val="Paragraphedeliste"/>
        <w:numPr>
          <w:ilvl w:val="0"/>
          <w:numId w:val="13"/>
        </w:numPr>
        <w:tabs>
          <w:tab w:val="left" w:pos="142"/>
          <w:tab w:val="left" w:pos="567"/>
          <w:tab w:val="left" w:pos="709"/>
        </w:tabs>
        <w:autoSpaceDE w:val="0"/>
        <w:autoSpaceDN w:val="0"/>
        <w:adjustRightInd w:val="0"/>
        <w:spacing w:before="100" w:beforeAutospacing="1" w:after="0" w:afterAutospacing="1"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Les remboursements effectués par des devises étrangères </w:t>
      </w:r>
      <w:r w:rsidRPr="0034540D">
        <w:rPr>
          <w:rFonts w:ascii="Times New Roman" w:hAnsi="Times New Roman" w:cs="Times New Roman"/>
          <w:sz w:val="24"/>
          <w:szCs w:val="24"/>
        </w:rPr>
        <w:t>de tout emprunteur à l’étranger sont faits par un intermédiaire agréé.</w:t>
      </w:r>
    </w:p>
    <w:p w:rsidR="00DA2AE2" w:rsidRPr="0034540D" w:rsidRDefault="00DA2AE2" w:rsidP="001E5084">
      <w:pPr>
        <w:pStyle w:val="Paragraphedeliste"/>
        <w:numPr>
          <w:ilvl w:val="0"/>
          <w:numId w:val="14"/>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sz w:val="24"/>
          <w:szCs w:val="24"/>
        </w:rPr>
      </w:pPr>
      <w:r w:rsidRPr="0034540D">
        <w:rPr>
          <w:rFonts w:ascii="Times New Roman" w:hAnsi="Times New Roman" w:cs="Times New Roman"/>
          <w:b/>
          <w:sz w:val="24"/>
          <w:szCs w:val="24"/>
        </w:rPr>
        <w:lastRenderedPageBreak/>
        <w:t>L’achat des devises ou le crédit</w:t>
      </w:r>
      <w:r w:rsidRPr="0034540D">
        <w:rPr>
          <w:rFonts w:ascii="Times New Roman" w:hAnsi="Times New Roman" w:cs="Times New Roman"/>
          <w:sz w:val="24"/>
          <w:szCs w:val="24"/>
        </w:rPr>
        <w:t xml:space="preserve"> à un compte étranger ne doivent intervenir qu’à la date où les fonds doivent être mis à la disposition du créancier non-résident.</w:t>
      </w:r>
    </w:p>
    <w:p w:rsidR="00DA2AE2" w:rsidRPr="0034540D" w:rsidRDefault="00DA2AE2"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hAnsi="Times New Roman" w:cs="Times New Roman"/>
          <w:sz w:val="24"/>
          <w:szCs w:val="24"/>
        </w:rPr>
      </w:pPr>
      <w:r w:rsidRPr="0034540D">
        <w:rPr>
          <w:rFonts w:ascii="Times New Roman" w:hAnsi="Times New Roman" w:cs="Times New Roman"/>
          <w:sz w:val="24"/>
          <w:szCs w:val="24"/>
        </w:rPr>
        <w:t>Les prorogations d’échéance et les remboursements anticipés d’emprunt doivent être notifiés aux intermédiaires agréés par les résidents emprunteurs</w:t>
      </w:r>
    </w:p>
    <w:p w:rsidR="00861990" w:rsidRDefault="00FB3172"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t>
      </w:r>
    </w:p>
    <w:p w:rsidR="00FB3172" w:rsidRPr="0034540D" w:rsidRDefault="00FB3172"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hAnsi="Times New Roman" w:cs="Times New Roman"/>
          <w:sz w:val="24"/>
          <w:szCs w:val="24"/>
        </w:rPr>
      </w:pPr>
    </w:p>
    <w:p w:rsidR="005432B9" w:rsidRPr="0034540D" w:rsidRDefault="004C5A58" w:rsidP="001E5084">
      <w:pPr>
        <w:tabs>
          <w:tab w:val="left" w:pos="142"/>
          <w:tab w:val="left" w:pos="567"/>
          <w:tab w:val="left" w:pos="709"/>
        </w:tabs>
        <w:autoSpaceDE w:val="0"/>
        <w:autoSpaceDN w:val="0"/>
        <w:adjustRightInd w:val="0"/>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Chapitre II </w:t>
      </w:r>
      <w:r w:rsidR="002A2F40" w:rsidRPr="0034540D">
        <w:rPr>
          <w:rFonts w:ascii="Times New Roman" w:hAnsi="Times New Roman" w:cs="Times New Roman"/>
          <w:b/>
          <w:sz w:val="24"/>
          <w:szCs w:val="24"/>
        </w:rPr>
        <w:t>: La répression</w:t>
      </w:r>
      <w:r w:rsidR="005432B9" w:rsidRPr="0034540D">
        <w:rPr>
          <w:rFonts w:ascii="Times New Roman" w:hAnsi="Times New Roman" w:cs="Times New Roman"/>
          <w:b/>
          <w:sz w:val="24"/>
          <w:szCs w:val="24"/>
        </w:rPr>
        <w:t xml:space="preserve">  des infractions  à la législation des changes </w:t>
      </w:r>
    </w:p>
    <w:p w:rsidR="002A2F40" w:rsidRDefault="005432B9" w:rsidP="001E5084">
      <w:pPr>
        <w:tabs>
          <w:tab w:val="left" w:pos="142"/>
          <w:tab w:val="left" w:pos="567"/>
          <w:tab w:val="left" w:pos="709"/>
        </w:tabs>
        <w:autoSpaceDE w:val="0"/>
        <w:autoSpaceDN w:val="0"/>
        <w:adjustRightInd w:val="0"/>
        <w:spacing w:after="0" w:line="360" w:lineRule="auto"/>
        <w:ind w:left="360"/>
        <w:jc w:val="both"/>
        <w:rPr>
          <w:rFonts w:ascii="Times New Roman" w:eastAsia="Times New Roman" w:hAnsi="Times New Roman" w:cs="Times New Roman"/>
          <w:color w:val="353535"/>
          <w:sz w:val="24"/>
          <w:szCs w:val="24"/>
          <w:lang w:eastAsia="fr-FR"/>
        </w:rPr>
      </w:pPr>
      <w:r w:rsidRPr="0034540D">
        <w:rPr>
          <w:rFonts w:ascii="Times New Roman" w:hAnsi="Times New Roman" w:cs="Times New Roman"/>
          <w:sz w:val="24"/>
          <w:szCs w:val="24"/>
        </w:rPr>
        <w:t>D’emblée, il y a lieu de faire savoir qu’il résulte de la lecture de l’article 32 de la loi n°2014-26 du 28 février sur le contentieux qu’en matière de réglementation des changes  l’intention du prévenu n’est pas rechercher pour la consommation de l’infraction. C’est dire qu’en cette matière les infractions sont  des infractions non intentionnelles c’est à dire</w:t>
      </w:r>
      <w:r w:rsidRPr="0034540D">
        <w:rPr>
          <w:rFonts w:ascii="Times New Roman" w:hAnsi="Times New Roman" w:cs="Times New Roman"/>
          <w:b/>
          <w:sz w:val="24"/>
          <w:szCs w:val="24"/>
        </w:rPr>
        <w:t xml:space="preserve"> </w:t>
      </w:r>
      <w:r w:rsidRPr="0034540D">
        <w:rPr>
          <w:rFonts w:ascii="Times New Roman" w:eastAsia="Times New Roman" w:hAnsi="Times New Roman" w:cs="Times New Roman"/>
          <w:color w:val="353535"/>
          <w:sz w:val="24"/>
          <w:szCs w:val="24"/>
          <w:lang w:eastAsia="fr-FR"/>
        </w:rPr>
        <w:t xml:space="preserve">des infractions dans lesquelles la loi déduit de la matérialité du fait la présomption de la faute du prévenu. Cette faute présumée consiste dans un manquement à l’obligation d’étudier les textes applicables à la matière et de les appliquer correctement. </w:t>
      </w:r>
      <w:r w:rsidR="002A2F40" w:rsidRPr="0034540D">
        <w:rPr>
          <w:rFonts w:ascii="Times New Roman" w:eastAsia="Times New Roman" w:hAnsi="Times New Roman" w:cs="Times New Roman"/>
          <w:color w:val="353535"/>
          <w:sz w:val="24"/>
          <w:szCs w:val="24"/>
          <w:lang w:eastAsia="fr-FR"/>
        </w:rPr>
        <w:t>Ce manquement fait l’objet d’une sanction résultante d’une procédure bien déterminée. Il est prévu que  c</w:t>
      </w:r>
      <w:r w:rsidRPr="0034540D">
        <w:rPr>
          <w:rFonts w:ascii="Times New Roman" w:eastAsia="Times New Roman" w:hAnsi="Times New Roman" w:cs="Times New Roman"/>
          <w:color w:val="353535"/>
          <w:sz w:val="24"/>
          <w:szCs w:val="24"/>
          <w:lang w:eastAsia="fr-FR"/>
        </w:rPr>
        <w:t>es infractions sont</w:t>
      </w:r>
      <w:r w:rsidRPr="0034540D">
        <w:rPr>
          <w:rFonts w:ascii="Times New Roman" w:hAnsi="Times New Roman" w:cs="Times New Roman"/>
          <w:b/>
          <w:sz w:val="24"/>
          <w:szCs w:val="24"/>
        </w:rPr>
        <w:t>,</w:t>
      </w:r>
      <w:r w:rsidR="002A2F40" w:rsidRPr="0034540D">
        <w:rPr>
          <w:rFonts w:ascii="Times New Roman" w:hAnsi="Times New Roman" w:cs="Times New Roman"/>
          <w:b/>
          <w:sz w:val="24"/>
          <w:szCs w:val="24"/>
        </w:rPr>
        <w:t xml:space="preserve"> </w:t>
      </w:r>
      <w:r w:rsidR="002A2F40" w:rsidRPr="0034540D">
        <w:rPr>
          <w:rFonts w:ascii="Times New Roman" w:hAnsi="Times New Roman" w:cs="Times New Roman"/>
          <w:sz w:val="24"/>
          <w:szCs w:val="24"/>
        </w:rPr>
        <w:t>en vertu des dispositions relatives aux relations financières extérieures de l’UEMOA,</w:t>
      </w:r>
      <w:r w:rsidRPr="0034540D">
        <w:rPr>
          <w:rFonts w:ascii="Times New Roman" w:hAnsi="Times New Roman" w:cs="Times New Roman"/>
          <w:b/>
          <w:sz w:val="24"/>
          <w:szCs w:val="24"/>
        </w:rPr>
        <w:t xml:space="preserve"> </w:t>
      </w:r>
      <w:r w:rsidRPr="0034540D">
        <w:rPr>
          <w:rFonts w:ascii="Times New Roman" w:hAnsi="Times New Roman" w:cs="Times New Roman"/>
          <w:sz w:val="24"/>
          <w:szCs w:val="24"/>
        </w:rPr>
        <w:t>sauf dispositions contraires, constatées, poursuivies, jugées et les peines infligées exécutées selon les règles  applicables aux infractions à la réglementation  douanière telles que définies par le code des douanes</w:t>
      </w:r>
      <w:r w:rsidRPr="0034540D">
        <w:rPr>
          <w:rFonts w:ascii="Times New Roman" w:eastAsia="Times New Roman" w:hAnsi="Times New Roman" w:cs="Times New Roman"/>
          <w:color w:val="353535"/>
          <w:sz w:val="24"/>
          <w:szCs w:val="24"/>
          <w:lang w:eastAsia="fr-FR"/>
        </w:rPr>
        <w:t>.</w:t>
      </w:r>
      <w:r w:rsidR="002A2F40" w:rsidRPr="0034540D">
        <w:rPr>
          <w:rFonts w:ascii="Times New Roman" w:eastAsia="Times New Roman" w:hAnsi="Times New Roman" w:cs="Times New Roman"/>
          <w:color w:val="353535"/>
          <w:sz w:val="24"/>
          <w:szCs w:val="24"/>
          <w:lang w:eastAsia="fr-FR"/>
        </w:rPr>
        <w:t xml:space="preserve"> Ainsi donc il sera fait application des règles douanières  pour la constatation, la poursuite, le jugement et l’exécution des peines  des infractions à la législation des changes.</w:t>
      </w:r>
    </w:p>
    <w:p w:rsidR="004C5A58" w:rsidRDefault="004C5A58" w:rsidP="004C5A58">
      <w:pPr>
        <w:tabs>
          <w:tab w:val="left" w:pos="142"/>
          <w:tab w:val="left" w:pos="567"/>
          <w:tab w:val="left" w:pos="709"/>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C5A58" w:rsidRDefault="004C5A58" w:rsidP="004C5A58">
      <w:pPr>
        <w:tabs>
          <w:tab w:val="left" w:pos="142"/>
          <w:tab w:val="left" w:pos="567"/>
          <w:tab w:val="left" w:pos="709"/>
        </w:tabs>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Pr="0034540D">
        <w:rPr>
          <w:rFonts w:ascii="Times New Roman" w:hAnsi="Times New Roman" w:cs="Times New Roman"/>
          <w:b/>
          <w:sz w:val="24"/>
          <w:szCs w:val="24"/>
        </w:rPr>
        <w:t>Note </w:t>
      </w:r>
      <w:r>
        <w:rPr>
          <w:rFonts w:ascii="Times New Roman" w:hAnsi="Times New Roman" w:cs="Times New Roman"/>
          <w:b/>
          <w:sz w:val="24"/>
          <w:szCs w:val="24"/>
        </w:rPr>
        <w:t>1</w:t>
      </w:r>
      <w:r w:rsidRPr="0034540D">
        <w:rPr>
          <w:rFonts w:ascii="Times New Roman" w:hAnsi="Times New Roman" w:cs="Times New Roman"/>
          <w:sz w:val="24"/>
          <w:szCs w:val="24"/>
        </w:rPr>
        <w:t xml:space="preserve">: pour veiller à un respect strict des prescriptions prévues par les dispositions communautaires en matière de change, le Conseil des Ministres de l’Union a adopté la </w:t>
      </w:r>
      <w:r w:rsidRPr="0034540D">
        <w:rPr>
          <w:rFonts w:ascii="Times New Roman" w:hAnsi="Times New Roman" w:cs="Times New Roman"/>
          <w:bCs/>
          <w:sz w:val="24"/>
          <w:szCs w:val="24"/>
        </w:rPr>
        <w:t xml:space="preserve">Décision N CM/UMOA/020/12/2012 du 14 décembre 2012 portant Adoption du projet de loi uniforme sur le contentieux des infractions à la réglementation des relations financières  extérieures  des Etats membres de l’Union Economique et Monétaire  Ouest Africaine (UEMOA) </w:t>
      </w:r>
      <w:r>
        <w:rPr>
          <w:rFonts w:ascii="Times New Roman" w:hAnsi="Times New Roman" w:cs="Times New Roman"/>
          <w:sz w:val="24"/>
          <w:szCs w:val="24"/>
        </w:rPr>
        <w:t xml:space="preserve">et </w:t>
      </w:r>
      <w:r w:rsidRPr="0034540D">
        <w:rPr>
          <w:rFonts w:ascii="Times New Roman" w:hAnsi="Times New Roman" w:cs="Times New Roman"/>
          <w:sz w:val="24"/>
          <w:szCs w:val="24"/>
        </w:rPr>
        <w:t xml:space="preserve"> deux projets de décrets d’application à savoir  le projet de décret  uniforme fixant les conditions d’acceptation d’une transaction avant la mise en œuvre  de l’action judiciaire dans le cadre des poursuites pour infractions à la réglementation des relations financières extérieures des </w:t>
      </w:r>
      <w:r w:rsidRPr="0034540D">
        <w:rPr>
          <w:rFonts w:ascii="Times New Roman" w:hAnsi="Times New Roman" w:cs="Times New Roman"/>
          <w:sz w:val="24"/>
          <w:szCs w:val="24"/>
        </w:rPr>
        <w:lastRenderedPageBreak/>
        <w:t>Etats membres de l’Union Economique et Monétaire Ouest Africaine (UEMOA) et le projet de décret uniforme fixant la composition, les attributions et le fonctionnement de la Commission du contentieux des infractions à la réglementation des relations financières extérieures des Etats membres de l’Union Economique et Mo</w:t>
      </w:r>
      <w:r>
        <w:rPr>
          <w:rFonts w:ascii="Times New Roman" w:hAnsi="Times New Roman" w:cs="Times New Roman"/>
          <w:sz w:val="24"/>
          <w:szCs w:val="24"/>
        </w:rPr>
        <w:t>nétaire Ouest Africaine (UEMOA)</w:t>
      </w:r>
      <w:r w:rsidRPr="0034540D">
        <w:rPr>
          <w:rFonts w:ascii="Times New Roman" w:hAnsi="Times New Roman" w:cs="Times New Roman"/>
          <w:sz w:val="24"/>
          <w:szCs w:val="24"/>
        </w:rPr>
        <w:t xml:space="preserve"> </w:t>
      </w:r>
      <w:r>
        <w:rPr>
          <w:rFonts w:ascii="Times New Roman" w:hAnsi="Times New Roman" w:cs="Times New Roman"/>
          <w:bCs/>
          <w:sz w:val="24"/>
          <w:szCs w:val="24"/>
        </w:rPr>
        <w:t>qui devaient</w:t>
      </w:r>
      <w:r w:rsidRPr="0034540D">
        <w:rPr>
          <w:rFonts w:ascii="Times New Roman" w:hAnsi="Times New Roman" w:cs="Times New Roman"/>
          <w:bCs/>
          <w:sz w:val="24"/>
          <w:szCs w:val="24"/>
        </w:rPr>
        <w:t xml:space="preserve"> être transposé</w:t>
      </w:r>
      <w:r>
        <w:rPr>
          <w:rFonts w:ascii="Times New Roman" w:hAnsi="Times New Roman" w:cs="Times New Roman"/>
          <w:bCs/>
          <w:sz w:val="24"/>
          <w:szCs w:val="24"/>
        </w:rPr>
        <w:t>s</w:t>
      </w:r>
      <w:r w:rsidRPr="0034540D">
        <w:rPr>
          <w:rFonts w:ascii="Times New Roman" w:hAnsi="Times New Roman" w:cs="Times New Roman"/>
          <w:bCs/>
          <w:sz w:val="24"/>
          <w:szCs w:val="24"/>
        </w:rPr>
        <w:t xml:space="preserve"> dans tous les Etats membres. </w:t>
      </w:r>
    </w:p>
    <w:p w:rsidR="004C5A58" w:rsidRPr="0034540D" w:rsidRDefault="004C5A58" w:rsidP="004C5A58">
      <w:pPr>
        <w:tabs>
          <w:tab w:val="left" w:pos="142"/>
          <w:tab w:val="left" w:pos="567"/>
          <w:tab w:val="left" w:pos="709"/>
        </w:tabs>
        <w:spacing w:line="360" w:lineRule="auto"/>
        <w:jc w:val="both"/>
        <w:rPr>
          <w:rFonts w:ascii="Times New Roman" w:hAnsi="Times New Roman" w:cs="Times New Roman"/>
          <w:bCs/>
          <w:sz w:val="24"/>
          <w:szCs w:val="24"/>
        </w:rPr>
      </w:pPr>
      <w:r w:rsidRPr="0034540D">
        <w:rPr>
          <w:rFonts w:ascii="Times New Roman" w:hAnsi="Times New Roman" w:cs="Times New Roman"/>
          <w:bCs/>
          <w:sz w:val="24"/>
          <w:szCs w:val="24"/>
        </w:rPr>
        <w:t>C’est ainsi que le Sénégal a, à travers la loi 2014-12 du 28 février 2014 sur le contentieux des infractions à la réglementation des relations financières  extérieures  des Etats membres de l’Union Economique et Monétaire  Ouest Africaine (UEMOA) , transposé ladite loi uniforme servant de cadre normatif pour la répression des violations à la législation  des changes. Mais il  faut le préciser, elle fait un renvoi à la loi bancaire quant aux sanctions à appli</w:t>
      </w:r>
      <w:r>
        <w:rPr>
          <w:rFonts w:ascii="Times New Roman" w:hAnsi="Times New Roman" w:cs="Times New Roman"/>
          <w:bCs/>
          <w:sz w:val="24"/>
          <w:szCs w:val="24"/>
        </w:rPr>
        <w:t>quer pour les établissements de</w:t>
      </w:r>
      <w:r w:rsidRPr="0034540D">
        <w:rPr>
          <w:rFonts w:ascii="Times New Roman" w:hAnsi="Times New Roman" w:cs="Times New Roman"/>
          <w:bCs/>
          <w:sz w:val="24"/>
          <w:szCs w:val="24"/>
        </w:rPr>
        <w:t xml:space="preserve"> crédit.</w:t>
      </w:r>
    </w:p>
    <w:p w:rsidR="004C5A58" w:rsidRPr="0034540D" w:rsidRDefault="004C5A58" w:rsidP="004C5A58">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bCs/>
          <w:sz w:val="24"/>
          <w:szCs w:val="24"/>
        </w:rPr>
        <w:t xml:space="preserve">Il a en outre adopté le </w:t>
      </w:r>
      <w:r w:rsidRPr="0034540D">
        <w:rPr>
          <w:rFonts w:ascii="Times New Roman" w:hAnsi="Times New Roman" w:cs="Times New Roman"/>
          <w:color w:val="FF0000"/>
          <w:sz w:val="24"/>
          <w:szCs w:val="24"/>
        </w:rPr>
        <w:t>décret n°2016-949 du 12 juillet 2016 fixant les conditions d’acceptation des transactions avant la mise en œuvre  de l’action judiciaire dans le cadre des infractions à la réglementation des relations financières extérieures  des Etats membres de l’UEMOA</w:t>
      </w:r>
      <w:r w:rsidRPr="0034540D">
        <w:rPr>
          <w:rFonts w:ascii="Times New Roman" w:hAnsi="Times New Roman" w:cs="Times New Roman"/>
          <w:sz w:val="24"/>
          <w:szCs w:val="24"/>
        </w:rPr>
        <w:t xml:space="preserve">. </w:t>
      </w:r>
      <w:r w:rsidRPr="0034540D">
        <w:rPr>
          <w:rFonts w:ascii="Times New Roman" w:hAnsi="Times New Roman" w:cs="Times New Roman"/>
          <w:color w:val="FF0000"/>
          <w:sz w:val="24"/>
          <w:szCs w:val="24"/>
        </w:rPr>
        <w:t xml:space="preserve">Toutefois, le </w:t>
      </w:r>
      <w:r w:rsidRPr="0034540D">
        <w:rPr>
          <w:rFonts w:ascii="Times New Roman" w:hAnsi="Times New Roman" w:cs="Times New Roman"/>
          <w:sz w:val="24"/>
          <w:szCs w:val="24"/>
        </w:rPr>
        <w:t>projet de décret uniforme fixant la composition, les attributions et le fonctionnement de la Commission du contentieux des infractions à la réglementation des relations financières extérieures des Etats membres de l’Union Economique et Monétaire Ouest Africaine (UEMOA) n’a pas encore fait l’objet de transposition dans le droit interne sénégalais</w:t>
      </w:r>
    </w:p>
    <w:p w:rsidR="004C5A58" w:rsidRDefault="004C5A58" w:rsidP="004C5A58">
      <w:pPr>
        <w:tabs>
          <w:tab w:val="left" w:pos="142"/>
          <w:tab w:val="left" w:pos="567"/>
          <w:tab w:val="left" w:pos="709"/>
        </w:tabs>
        <w:autoSpaceDE w:val="0"/>
        <w:autoSpaceDN w:val="0"/>
        <w:adjustRightInd w:val="0"/>
        <w:spacing w:after="0" w:line="360" w:lineRule="auto"/>
        <w:ind w:left="360"/>
        <w:jc w:val="both"/>
        <w:rPr>
          <w:rFonts w:ascii="Times New Roman" w:eastAsia="Times New Roman" w:hAnsi="Times New Roman" w:cs="Times New Roman"/>
          <w:color w:val="353535"/>
          <w:sz w:val="24"/>
          <w:szCs w:val="24"/>
          <w:lang w:eastAsia="fr-FR"/>
        </w:rPr>
      </w:pPr>
      <w:r>
        <w:rPr>
          <w:rFonts w:ascii="Times New Roman" w:hAnsi="Times New Roman" w:cs="Times New Roman"/>
          <w:b/>
          <w:sz w:val="24"/>
          <w:szCs w:val="24"/>
        </w:rPr>
        <w:t>C’est dire que  p</w:t>
      </w:r>
      <w:r w:rsidRPr="0034540D">
        <w:rPr>
          <w:rFonts w:ascii="Times New Roman" w:hAnsi="Times New Roman" w:cs="Times New Roman"/>
          <w:sz w:val="24"/>
          <w:szCs w:val="24"/>
        </w:rPr>
        <w:t xml:space="preserve">our garantir l’efficacité  de l’application de la règle  de droit, </w:t>
      </w:r>
      <w:r>
        <w:rPr>
          <w:rFonts w:ascii="Times New Roman" w:hAnsi="Times New Roman" w:cs="Times New Roman"/>
          <w:sz w:val="24"/>
          <w:szCs w:val="24"/>
        </w:rPr>
        <w:t xml:space="preserve">les Etats membres de l’UEMOA ont  mis en place </w:t>
      </w:r>
      <w:r w:rsidRPr="0034540D">
        <w:rPr>
          <w:rFonts w:ascii="Times New Roman" w:hAnsi="Times New Roman" w:cs="Times New Roman"/>
          <w:sz w:val="24"/>
          <w:szCs w:val="24"/>
        </w:rPr>
        <w:t xml:space="preserve">un dispositif de sanction </w:t>
      </w:r>
      <w:r>
        <w:rPr>
          <w:rFonts w:ascii="Times New Roman" w:hAnsi="Times New Roman" w:cs="Times New Roman"/>
          <w:sz w:val="24"/>
          <w:szCs w:val="24"/>
        </w:rPr>
        <w:t xml:space="preserve">qui s’est </w:t>
      </w:r>
      <w:r w:rsidRPr="0034540D">
        <w:rPr>
          <w:rFonts w:ascii="Times New Roman" w:hAnsi="Times New Roman" w:cs="Times New Roman"/>
          <w:sz w:val="24"/>
          <w:szCs w:val="24"/>
        </w:rPr>
        <w:t>s’</w:t>
      </w:r>
      <w:r>
        <w:rPr>
          <w:rFonts w:ascii="Times New Roman" w:hAnsi="Times New Roman" w:cs="Times New Roman"/>
          <w:sz w:val="24"/>
          <w:szCs w:val="24"/>
        </w:rPr>
        <w:t>avéré</w:t>
      </w:r>
      <w:r w:rsidRPr="0034540D">
        <w:rPr>
          <w:rFonts w:ascii="Times New Roman" w:hAnsi="Times New Roman" w:cs="Times New Roman"/>
          <w:sz w:val="24"/>
          <w:szCs w:val="24"/>
        </w:rPr>
        <w:t xml:space="preserve"> nécessaire.  Ce dispositif devait être transposé dans le droit interne des tous les états membres de l’Union</w:t>
      </w:r>
    </w:p>
    <w:p w:rsidR="00FB3172" w:rsidRPr="0034540D" w:rsidRDefault="00FB3172" w:rsidP="001E5084">
      <w:pPr>
        <w:tabs>
          <w:tab w:val="left" w:pos="142"/>
          <w:tab w:val="left" w:pos="567"/>
          <w:tab w:val="left" w:pos="709"/>
        </w:tabs>
        <w:autoSpaceDE w:val="0"/>
        <w:autoSpaceDN w:val="0"/>
        <w:adjustRightInd w:val="0"/>
        <w:spacing w:after="0" w:line="360" w:lineRule="auto"/>
        <w:ind w:left="360"/>
        <w:jc w:val="both"/>
        <w:rPr>
          <w:rFonts w:ascii="Times New Roman" w:eastAsia="Times New Roman" w:hAnsi="Times New Roman" w:cs="Times New Roman"/>
          <w:color w:val="353535"/>
          <w:sz w:val="24"/>
          <w:szCs w:val="24"/>
          <w:lang w:eastAsia="fr-FR"/>
        </w:rPr>
      </w:pPr>
    </w:p>
    <w:p w:rsidR="00DA2AE2" w:rsidRPr="0034540D" w:rsidRDefault="002A2F40" w:rsidP="001E5084">
      <w:pPr>
        <w:tabs>
          <w:tab w:val="left" w:pos="142"/>
          <w:tab w:val="left" w:pos="567"/>
          <w:tab w:val="left" w:pos="709"/>
        </w:tabs>
        <w:autoSpaceDE w:val="0"/>
        <w:autoSpaceDN w:val="0"/>
        <w:adjustRightInd w:val="0"/>
        <w:spacing w:after="0" w:line="360" w:lineRule="auto"/>
        <w:ind w:left="360"/>
        <w:jc w:val="both"/>
        <w:rPr>
          <w:rFonts w:ascii="Times New Roman" w:hAnsi="Times New Roman" w:cs="Times New Roman"/>
          <w:sz w:val="24"/>
          <w:szCs w:val="24"/>
        </w:rPr>
      </w:pPr>
      <w:r w:rsidRPr="0034540D">
        <w:rPr>
          <w:rFonts w:ascii="Times New Roman" w:hAnsi="Times New Roman" w:cs="Times New Roman"/>
          <w:b/>
          <w:sz w:val="24"/>
          <w:szCs w:val="24"/>
        </w:rPr>
        <w:t>Section I :</w:t>
      </w:r>
      <w:r w:rsidR="00DA2AE2" w:rsidRPr="0034540D">
        <w:rPr>
          <w:rFonts w:ascii="Times New Roman" w:hAnsi="Times New Roman" w:cs="Times New Roman"/>
          <w:b/>
          <w:sz w:val="24"/>
          <w:szCs w:val="24"/>
        </w:rPr>
        <w:t xml:space="preserve"> la constatation des infractions à la législation  des changes</w:t>
      </w:r>
    </w:p>
    <w:p w:rsidR="005432B9" w:rsidRPr="0034540D" w:rsidRDefault="005432B9"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hAnsi="Times New Roman" w:cs="Times New Roman"/>
          <w:sz w:val="24"/>
          <w:szCs w:val="24"/>
        </w:rPr>
      </w:pPr>
      <w:r w:rsidRPr="0034540D">
        <w:rPr>
          <w:rFonts w:ascii="Times New Roman" w:hAnsi="Times New Roman" w:cs="Times New Roman"/>
          <w:sz w:val="24"/>
          <w:szCs w:val="24"/>
        </w:rPr>
        <w:t>Il  résulte de l’article 312 du code des Douanes</w:t>
      </w:r>
      <w:r w:rsidRPr="0034540D">
        <w:rPr>
          <w:rFonts w:ascii="Times New Roman" w:hAnsi="Times New Roman" w:cs="Times New Roman"/>
          <w:b/>
          <w:sz w:val="24"/>
          <w:szCs w:val="24"/>
        </w:rPr>
        <w:t xml:space="preserve"> </w:t>
      </w:r>
      <w:r w:rsidRPr="0034540D">
        <w:rPr>
          <w:rFonts w:ascii="Times New Roman" w:hAnsi="Times New Roman" w:cs="Times New Roman"/>
          <w:sz w:val="24"/>
          <w:szCs w:val="24"/>
        </w:rPr>
        <w:t>que «  les résultats des   contrôles  opérés dans les conditions prévues à l’article 54 du présent  code (code des douanes) et, d’une manière générale, ceux des enquêtes et interrogatoires effectués   par les agents  des douanes sont consignés dans des procès verbaux de constat…</w:t>
      </w:r>
      <w:r w:rsidR="00FC1CDA" w:rsidRPr="0034540D">
        <w:rPr>
          <w:rFonts w:ascii="Times New Roman" w:hAnsi="Times New Roman" w:cs="Times New Roman"/>
          <w:sz w:val="24"/>
          <w:szCs w:val="24"/>
        </w:rPr>
        <w:t xml:space="preserve">.. ». </w:t>
      </w:r>
    </w:p>
    <w:p w:rsidR="00FC1CDA" w:rsidRPr="0034540D" w:rsidRDefault="00FC1CDA" w:rsidP="001E5084">
      <w:pPr>
        <w:tabs>
          <w:tab w:val="left" w:pos="142"/>
          <w:tab w:val="left" w:pos="567"/>
          <w:tab w:val="left" w:pos="709"/>
        </w:tabs>
        <w:rPr>
          <w:rFonts w:ascii="Times New Roman" w:hAnsi="Times New Roman" w:cs="Times New Roman"/>
          <w:b/>
          <w:sz w:val="24"/>
          <w:szCs w:val="24"/>
        </w:rPr>
      </w:pPr>
      <w:r w:rsidRPr="0034540D">
        <w:rPr>
          <w:rFonts w:ascii="Times New Roman" w:hAnsi="Times New Roman" w:cs="Times New Roman"/>
          <w:sz w:val="24"/>
          <w:szCs w:val="24"/>
        </w:rPr>
        <w:t xml:space="preserve">L’article 6 de la loi 2014-12  du 28 février 2014 </w:t>
      </w:r>
      <w:r w:rsidRPr="0034540D">
        <w:rPr>
          <w:rFonts w:ascii="Times New Roman" w:hAnsi="Times New Roman" w:cs="Times New Roman"/>
          <w:bCs/>
          <w:sz w:val="24"/>
          <w:szCs w:val="24"/>
        </w:rPr>
        <w:t xml:space="preserve">le contentieux des infractions à la réglementation des relations financières  extérieures  des Etats membres de l’Union Economique et Monétaire  Ouest Africaine (UEMOA)  semble faire une distinction </w:t>
      </w:r>
      <w:r w:rsidRPr="0034540D">
        <w:rPr>
          <w:rFonts w:ascii="Times New Roman" w:hAnsi="Times New Roman" w:cs="Times New Roman"/>
          <w:bCs/>
          <w:sz w:val="24"/>
          <w:szCs w:val="24"/>
        </w:rPr>
        <w:lastRenderedPageBreak/>
        <w:t xml:space="preserve">entre la constatation des infractions commises par les établissements de crédit des autres personnes morales.  </w:t>
      </w:r>
      <w:r w:rsidRPr="0034540D">
        <w:rPr>
          <w:rFonts w:ascii="Times New Roman" w:hAnsi="Times New Roman" w:cs="Times New Roman"/>
          <w:sz w:val="24"/>
          <w:szCs w:val="24"/>
        </w:rPr>
        <w:t xml:space="preserve"> </w:t>
      </w:r>
    </w:p>
    <w:p w:rsidR="00DA2AE2" w:rsidRPr="0034540D" w:rsidRDefault="00DA2AE2" w:rsidP="001E5084">
      <w:pPr>
        <w:pStyle w:val="Paragraphedeliste"/>
        <w:numPr>
          <w:ilvl w:val="0"/>
          <w:numId w:val="34"/>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La constatation des infractions commises par les personnes physiques et les personnes morales autres que  les établissements  de crédit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eastAsia="Times New Roman" w:hAnsi="Times New Roman" w:cs="Times New Roman"/>
          <w:color w:val="353535"/>
          <w:sz w:val="24"/>
          <w:szCs w:val="24"/>
          <w:lang w:eastAsia="fr-FR"/>
        </w:rPr>
        <w:t xml:space="preserve">Comme l’écrivait le Doyen R. SAVATIER «  </w:t>
      </w:r>
      <w:r w:rsidRPr="0034540D">
        <w:rPr>
          <w:rFonts w:ascii="Times New Roman" w:eastAsia="Times New Roman" w:hAnsi="Times New Roman" w:cs="Times New Roman"/>
          <w:i/>
          <w:color w:val="353535"/>
          <w:sz w:val="24"/>
          <w:szCs w:val="24"/>
          <w:lang w:eastAsia="fr-FR"/>
        </w:rPr>
        <w:t>Ainsi qu’Il arrive pour les infractions techniques, une police spécialisée est nécessaire pour alerter le parquet</w:t>
      </w:r>
      <w:r w:rsidRPr="0034540D">
        <w:rPr>
          <w:rFonts w:ascii="Times New Roman" w:eastAsia="Times New Roman" w:hAnsi="Times New Roman" w:cs="Times New Roman"/>
          <w:color w:val="353535"/>
          <w:sz w:val="24"/>
          <w:szCs w:val="24"/>
          <w:lang w:eastAsia="fr-FR"/>
        </w:rPr>
        <w:t xml:space="preserve"> ». Ce phénomène est particulièrement visible en matière d’infractions à la législation des changes où une </w:t>
      </w:r>
      <w:r w:rsidRPr="0034540D">
        <w:rPr>
          <w:rFonts w:ascii="Times New Roman" w:hAnsi="Times New Roman" w:cs="Times New Roman"/>
          <w:sz w:val="24"/>
          <w:szCs w:val="24"/>
        </w:rPr>
        <w:t xml:space="preserve"> catégorie d’agents est exclusivement  habilitée à constater les infractions à la législation des changes. Il</w:t>
      </w:r>
      <w:r w:rsidR="005432B9" w:rsidRPr="0034540D">
        <w:rPr>
          <w:rFonts w:ascii="Times New Roman" w:hAnsi="Times New Roman" w:cs="Times New Roman"/>
          <w:sz w:val="24"/>
          <w:szCs w:val="24"/>
        </w:rPr>
        <w:t xml:space="preserve"> s’agit  des agents des douanes</w:t>
      </w:r>
      <w:r w:rsidRPr="0034540D">
        <w:rPr>
          <w:rFonts w:ascii="Times New Roman" w:hAnsi="Times New Roman" w:cs="Times New Roman"/>
          <w:sz w:val="24"/>
          <w:szCs w:val="24"/>
        </w:rPr>
        <w:t>, des agents de la Direction chargée des Finances Extérieures assermentés, d’autres agents de l’état assermentés</w:t>
      </w:r>
      <w:r w:rsidR="005432B9"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 spécialement désignées dans les conditions visés à l’article 11 </w:t>
      </w:r>
      <w:r w:rsidR="005432B9" w:rsidRPr="0034540D">
        <w:rPr>
          <w:rFonts w:ascii="Times New Roman" w:hAnsi="Times New Roman" w:cs="Times New Roman"/>
          <w:sz w:val="24"/>
          <w:szCs w:val="24"/>
        </w:rPr>
        <w:t>de la loi  n°2014-26 du 28 février 2014</w:t>
      </w:r>
      <w:r w:rsidRPr="0034540D">
        <w:rPr>
          <w:rFonts w:ascii="Times New Roman" w:hAnsi="Times New Roman" w:cs="Times New Roman"/>
          <w:sz w:val="24"/>
          <w:szCs w:val="24"/>
        </w:rPr>
        <w:t>,</w:t>
      </w:r>
      <w:r w:rsidR="005432B9" w:rsidRPr="0034540D">
        <w:rPr>
          <w:rFonts w:ascii="Times New Roman" w:hAnsi="Times New Roman" w:cs="Times New Roman"/>
          <w:sz w:val="24"/>
          <w:szCs w:val="24"/>
        </w:rPr>
        <w:t xml:space="preserve"> </w:t>
      </w:r>
      <w:r w:rsidRPr="0034540D">
        <w:rPr>
          <w:rFonts w:ascii="Times New Roman" w:hAnsi="Times New Roman" w:cs="Times New Roman"/>
          <w:sz w:val="24"/>
          <w:szCs w:val="24"/>
        </w:rPr>
        <w:t>les officiers de police judiciaire ,les agents de la BCEAO assermentés ou désignées dans les conditions visées à l’article 11</w:t>
      </w:r>
      <w:r w:rsidR="005432B9" w:rsidRPr="0034540D">
        <w:rPr>
          <w:rFonts w:ascii="Times New Roman" w:hAnsi="Times New Roman" w:cs="Times New Roman"/>
          <w:sz w:val="24"/>
          <w:szCs w:val="24"/>
        </w:rPr>
        <w:t xml:space="preserve"> sus dit</w:t>
      </w:r>
      <w:r w:rsidRPr="0034540D">
        <w:rPr>
          <w:rFonts w:ascii="Times New Roman" w:hAnsi="Times New Roman" w:cs="Times New Roman"/>
          <w:sz w:val="24"/>
          <w:szCs w:val="24"/>
        </w:rPr>
        <w:t xml:space="preserve">. </w:t>
      </w:r>
      <w:r w:rsidR="005432B9" w:rsidRPr="0034540D">
        <w:rPr>
          <w:rFonts w:ascii="Times New Roman" w:hAnsi="Times New Roman" w:cs="Times New Roman"/>
          <w:sz w:val="24"/>
          <w:szCs w:val="24"/>
        </w:rPr>
        <w:t xml:space="preserve"> </w:t>
      </w:r>
      <w:r w:rsidRPr="0034540D">
        <w:rPr>
          <w:rFonts w:ascii="Times New Roman" w:hAnsi="Times New Roman" w:cs="Times New Roman"/>
          <w:sz w:val="24"/>
          <w:szCs w:val="24"/>
        </w:rPr>
        <w:t>Ces agents  dressent des procès verbaux de constat  qui relatent leurs opérations dans les cas de vérification d’écritures  et plus généralement   à l’occasion des investigations sur place et sur pièces menées par eux. Précisons toutefois que ces agents ne peuvent directement transmettre ces procès  verbaux au parquet. Ainsi, lorsque  les agents des douanes, les agents de la Direction chargée des Finances Extérieures assermentés, les autres agents de l’état assermentés, spécialement désignées dans les conditions visés à l’article 11, les établissent, ils sont  transmis au  Ministre chargé des Finances pour suite à donner. Les procès verbaux  de constat  sont dressés en cas d’infraction non flagrante et valent en principe jusqu’à inscription de faux des constatations matérielles</w:t>
      </w:r>
      <w:r w:rsidRPr="0034540D">
        <w:rPr>
          <w:rStyle w:val="Appelnotedebasdep"/>
          <w:rFonts w:ascii="Times New Roman" w:hAnsi="Times New Roman" w:cs="Times New Roman"/>
          <w:sz w:val="24"/>
          <w:szCs w:val="24"/>
        </w:rPr>
        <w:footnoteReference w:id="27"/>
      </w:r>
      <w:r w:rsidRPr="0034540D">
        <w:rPr>
          <w:rFonts w:ascii="Times New Roman" w:hAnsi="Times New Roman" w:cs="Times New Roman"/>
          <w:sz w:val="24"/>
          <w:szCs w:val="24"/>
        </w:rPr>
        <w:t xml:space="preserve">. </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eastAsia="Times New Roman" w:hAnsi="Times New Roman" w:cs="Times New Roman"/>
          <w:color w:val="353535"/>
          <w:sz w:val="24"/>
          <w:szCs w:val="24"/>
          <w:lang w:eastAsia="fr-FR"/>
        </w:rPr>
        <w:t xml:space="preserve">De même, pour mieux </w:t>
      </w:r>
      <w:r w:rsidR="005432B9" w:rsidRPr="0034540D">
        <w:rPr>
          <w:rFonts w:ascii="Times New Roman" w:eastAsia="Times New Roman" w:hAnsi="Times New Roman" w:cs="Times New Roman"/>
          <w:color w:val="353535"/>
          <w:sz w:val="24"/>
          <w:szCs w:val="24"/>
          <w:lang w:eastAsia="fr-FR"/>
        </w:rPr>
        <w:t xml:space="preserve"> leur permettre d’</w:t>
      </w:r>
      <w:r w:rsidRPr="0034540D">
        <w:rPr>
          <w:rFonts w:ascii="Times New Roman" w:eastAsia="Times New Roman" w:hAnsi="Times New Roman" w:cs="Times New Roman"/>
          <w:color w:val="353535"/>
          <w:sz w:val="24"/>
          <w:szCs w:val="24"/>
          <w:lang w:eastAsia="fr-FR"/>
        </w:rPr>
        <w:t xml:space="preserve">exercer leur mission de contrôle, </w:t>
      </w:r>
      <w:r w:rsidR="005432B9" w:rsidRPr="0034540D">
        <w:rPr>
          <w:rFonts w:ascii="Times New Roman" w:eastAsia="Times New Roman" w:hAnsi="Times New Roman" w:cs="Times New Roman"/>
          <w:color w:val="353535"/>
          <w:sz w:val="24"/>
          <w:szCs w:val="24"/>
          <w:lang w:eastAsia="fr-FR"/>
        </w:rPr>
        <w:t xml:space="preserve">certaines possibilités sont </w:t>
      </w:r>
      <w:r w:rsidRPr="0034540D">
        <w:rPr>
          <w:rFonts w:ascii="Times New Roman" w:eastAsia="Times New Roman" w:hAnsi="Times New Roman" w:cs="Times New Roman"/>
          <w:color w:val="353535"/>
          <w:sz w:val="24"/>
          <w:szCs w:val="24"/>
          <w:lang w:eastAsia="fr-FR"/>
        </w:rPr>
        <w:t>reconnu</w:t>
      </w:r>
      <w:r w:rsidR="005432B9" w:rsidRPr="0034540D">
        <w:rPr>
          <w:rFonts w:ascii="Times New Roman" w:eastAsia="Times New Roman" w:hAnsi="Times New Roman" w:cs="Times New Roman"/>
          <w:color w:val="353535"/>
          <w:sz w:val="24"/>
          <w:szCs w:val="24"/>
          <w:lang w:eastAsia="fr-FR"/>
        </w:rPr>
        <w:t xml:space="preserve">es aux  agents  habilités </w:t>
      </w:r>
      <w:r w:rsidRPr="0034540D">
        <w:rPr>
          <w:rFonts w:ascii="Times New Roman" w:eastAsia="Times New Roman" w:hAnsi="Times New Roman" w:cs="Times New Roman"/>
          <w:color w:val="353535"/>
          <w:sz w:val="24"/>
          <w:szCs w:val="24"/>
          <w:lang w:eastAsia="fr-FR"/>
        </w:rPr>
        <w:t xml:space="preserve"> notamment le droit d’effectuer des visites  domiciliaires conformément à l’article 53 du code des douanes aux fins de constater des infractions à la législation  des changes. </w:t>
      </w:r>
      <w:r w:rsidRPr="0034540D">
        <w:rPr>
          <w:rFonts w:ascii="Times New Roman" w:hAnsi="Times New Roman" w:cs="Times New Roman"/>
          <w:sz w:val="24"/>
          <w:szCs w:val="24"/>
        </w:rPr>
        <w:t>L’article   53</w:t>
      </w:r>
      <w:r w:rsidRPr="0034540D">
        <w:rPr>
          <w:rStyle w:val="Appelnotedebasdep"/>
          <w:rFonts w:ascii="Times New Roman" w:hAnsi="Times New Roman" w:cs="Times New Roman"/>
          <w:sz w:val="24"/>
          <w:szCs w:val="24"/>
        </w:rPr>
        <w:footnoteReference w:id="28"/>
      </w:r>
      <w:r w:rsidRPr="0034540D">
        <w:rPr>
          <w:rFonts w:ascii="Times New Roman" w:hAnsi="Times New Roman" w:cs="Times New Roman"/>
          <w:sz w:val="24"/>
          <w:szCs w:val="24"/>
        </w:rPr>
        <w:t xml:space="preserve"> du code des </w:t>
      </w:r>
      <w:r w:rsidRPr="0034540D">
        <w:rPr>
          <w:rFonts w:ascii="Times New Roman" w:hAnsi="Times New Roman" w:cs="Times New Roman"/>
          <w:sz w:val="24"/>
          <w:szCs w:val="24"/>
        </w:rPr>
        <w:lastRenderedPageBreak/>
        <w:t xml:space="preserve">douanes prévoit la possibilité de faire des visites domiciliaires même privés pour la recherche entre autres de marchandises détenues frauduleusement   ainsi que de tous </w:t>
      </w:r>
      <w:r w:rsidRPr="0034540D">
        <w:rPr>
          <w:rFonts w:ascii="Times New Roman" w:hAnsi="Times New Roman" w:cs="Times New Roman"/>
          <w:sz w:val="24"/>
          <w:szCs w:val="24"/>
        </w:rPr>
        <w:lastRenderedPageBreak/>
        <w:t>documents</w:t>
      </w:r>
      <w:r w:rsidR="00FC1CDA" w:rsidRPr="0034540D">
        <w:rPr>
          <w:rFonts w:ascii="Times New Roman" w:hAnsi="Times New Roman" w:cs="Times New Roman"/>
          <w:sz w:val="24"/>
          <w:szCs w:val="24"/>
        </w:rPr>
        <w:t>.</w:t>
      </w:r>
      <w:r w:rsidRPr="0034540D">
        <w:rPr>
          <w:rFonts w:ascii="Times New Roman" w:hAnsi="Times New Roman" w:cs="Times New Roman"/>
          <w:sz w:val="24"/>
          <w:szCs w:val="24"/>
        </w:rPr>
        <w:t xml:space="preserve"> Ces visites doivent être faites en présence d’un officier de police judiciaire et  ne peuvent commencées avant 04 du matin et après 21 heures.  Cependant il a été apportée des assouplissements à cette heure légale, dans trois (03)  cas limitativement énumérés : en cas de l’assentiment exprès de l’occupant des lieux, lorsque la visite a été effectuée après une poursuite à vue et lorsqu’elle a commencé pendant la journée et s’est poursuivies jusqu’à la nuit.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eastAsia="Times New Roman" w:hAnsi="Times New Roman" w:cs="Times New Roman"/>
          <w:color w:val="353535"/>
          <w:sz w:val="24"/>
          <w:szCs w:val="24"/>
          <w:lang w:eastAsia="fr-FR"/>
        </w:rPr>
      </w:pPr>
      <w:r w:rsidRPr="0034540D">
        <w:rPr>
          <w:rFonts w:ascii="Times New Roman" w:eastAsia="Times New Roman" w:hAnsi="Times New Roman" w:cs="Times New Roman"/>
          <w:color w:val="353535"/>
          <w:sz w:val="24"/>
          <w:szCs w:val="24"/>
          <w:lang w:eastAsia="fr-FR"/>
        </w:rPr>
        <w:t>Ainsi,  l’existence d’un corps de fonctionnaires spécialisés dans le contrôle de l’application de toute la réglementation des changes constitue un rouage essentiel d’une répression efficace.</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b/>
          <w:sz w:val="24"/>
          <w:szCs w:val="24"/>
        </w:rPr>
        <w:t>Note</w:t>
      </w:r>
      <w:r w:rsidRPr="0034540D">
        <w:rPr>
          <w:rFonts w:ascii="Times New Roman" w:hAnsi="Times New Roman" w:cs="Times New Roman"/>
          <w:sz w:val="24"/>
          <w:szCs w:val="24"/>
        </w:rPr>
        <w:t> : A la lecture de l’article</w:t>
      </w:r>
      <w:r w:rsidR="00494148" w:rsidRPr="0034540D">
        <w:rPr>
          <w:rFonts w:ascii="Times New Roman" w:hAnsi="Times New Roman" w:cs="Times New Roman"/>
          <w:sz w:val="24"/>
          <w:szCs w:val="24"/>
        </w:rPr>
        <w:t xml:space="preserve"> </w:t>
      </w:r>
      <w:r w:rsidR="005432B9" w:rsidRPr="0034540D">
        <w:rPr>
          <w:rFonts w:ascii="Times New Roman" w:hAnsi="Times New Roman" w:cs="Times New Roman"/>
          <w:sz w:val="24"/>
          <w:szCs w:val="24"/>
        </w:rPr>
        <w:t xml:space="preserve">7 de la loi n°2014-26 du 28 février 2014 sur le contentieux </w:t>
      </w:r>
      <w:r w:rsidRPr="0034540D">
        <w:rPr>
          <w:rFonts w:ascii="Times New Roman" w:hAnsi="Times New Roman" w:cs="Times New Roman"/>
          <w:sz w:val="24"/>
          <w:szCs w:val="24"/>
        </w:rPr>
        <w:t>, les officiers de police jud</w:t>
      </w:r>
      <w:r w:rsidR="005432B9" w:rsidRPr="0034540D">
        <w:rPr>
          <w:rFonts w:ascii="Times New Roman" w:hAnsi="Times New Roman" w:cs="Times New Roman"/>
          <w:sz w:val="24"/>
          <w:szCs w:val="24"/>
        </w:rPr>
        <w:t>iciaire ne sont pas habilités à</w:t>
      </w:r>
      <w:r w:rsidRPr="0034540D">
        <w:rPr>
          <w:rFonts w:ascii="Times New Roman" w:hAnsi="Times New Roman" w:cs="Times New Roman"/>
          <w:sz w:val="24"/>
          <w:szCs w:val="24"/>
        </w:rPr>
        <w:t xml:space="preserve"> faire des visites domiciliaires en matière d’infraction de change. </w:t>
      </w:r>
      <w:r w:rsidR="005432B9" w:rsidRPr="0034540D">
        <w:rPr>
          <w:rFonts w:ascii="Times New Roman" w:hAnsi="Times New Roman" w:cs="Times New Roman"/>
          <w:sz w:val="24"/>
          <w:szCs w:val="24"/>
        </w:rPr>
        <w:t xml:space="preserve"> Ils doivent toutefois accompagner les agents habilités.</w:t>
      </w:r>
    </w:p>
    <w:p w:rsidR="00DA2AE2" w:rsidRPr="0034540D" w:rsidRDefault="003F4454" w:rsidP="001E5084">
      <w:pPr>
        <w:pStyle w:val="Paragraphedeliste"/>
        <w:tabs>
          <w:tab w:val="left" w:pos="142"/>
          <w:tab w:val="left" w:pos="567"/>
          <w:tab w:val="left" w:pos="709"/>
        </w:tabs>
        <w:autoSpaceDE w:val="0"/>
        <w:autoSpaceDN w:val="0"/>
        <w:adjustRightInd w:val="0"/>
        <w:spacing w:after="0" w:line="360" w:lineRule="auto"/>
        <w:ind w:left="0"/>
        <w:jc w:val="both"/>
        <w:rPr>
          <w:rFonts w:ascii="Times New Roman" w:eastAsia="Times New Roman" w:hAnsi="Times New Roman" w:cs="Times New Roman"/>
          <w:i/>
          <w:color w:val="212529"/>
          <w:sz w:val="24"/>
          <w:szCs w:val="24"/>
          <w:lang w:eastAsia="fr-FR"/>
        </w:rPr>
      </w:pPr>
      <w:r w:rsidRPr="0034540D">
        <w:rPr>
          <w:rFonts w:ascii="Times New Roman" w:hAnsi="Times New Roman" w:cs="Times New Roman"/>
          <w:b/>
          <w:sz w:val="24"/>
          <w:szCs w:val="24"/>
        </w:rPr>
        <w:t xml:space="preserve">B- </w:t>
      </w:r>
      <w:r w:rsidR="00DA2AE2" w:rsidRPr="0034540D">
        <w:rPr>
          <w:rFonts w:ascii="Times New Roman" w:hAnsi="Times New Roman" w:cs="Times New Roman"/>
          <w:b/>
          <w:sz w:val="24"/>
          <w:szCs w:val="24"/>
        </w:rPr>
        <w:t xml:space="preserve">La constatation des infractions commises par les établissements  de crédit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highlight w:val="yellow"/>
        </w:rPr>
      </w:pPr>
      <w:r w:rsidRPr="0034540D">
        <w:rPr>
          <w:rFonts w:ascii="Times New Roman" w:eastAsia="Times New Roman" w:hAnsi="Times New Roman" w:cs="Times New Roman"/>
          <w:color w:val="212529"/>
          <w:sz w:val="24"/>
          <w:szCs w:val="24"/>
          <w:lang w:eastAsia="fr-FR"/>
        </w:rPr>
        <w:t>Il ressort de la lecture des articles 6 et 11 de la loi 2014-12 que les infractions à la législation des changes commise</w:t>
      </w:r>
      <w:r w:rsidR="00FC1CDA" w:rsidRPr="0034540D">
        <w:rPr>
          <w:rFonts w:ascii="Times New Roman" w:eastAsia="Times New Roman" w:hAnsi="Times New Roman" w:cs="Times New Roman"/>
          <w:color w:val="212529"/>
          <w:sz w:val="24"/>
          <w:szCs w:val="24"/>
          <w:lang w:eastAsia="fr-FR"/>
        </w:rPr>
        <w:t>s</w:t>
      </w:r>
      <w:r w:rsidRPr="0034540D">
        <w:rPr>
          <w:rFonts w:ascii="Times New Roman" w:eastAsia="Times New Roman" w:hAnsi="Times New Roman" w:cs="Times New Roman"/>
          <w:color w:val="212529"/>
          <w:sz w:val="24"/>
          <w:szCs w:val="24"/>
          <w:lang w:eastAsia="fr-FR"/>
        </w:rPr>
        <w:t xml:space="preserve"> par les établissements  de crédit  sont constatées par les agents habilités lim</w:t>
      </w:r>
      <w:r w:rsidR="00FC1CDA" w:rsidRPr="0034540D">
        <w:rPr>
          <w:rFonts w:ascii="Times New Roman" w:eastAsia="Times New Roman" w:hAnsi="Times New Roman" w:cs="Times New Roman"/>
          <w:color w:val="212529"/>
          <w:sz w:val="24"/>
          <w:szCs w:val="24"/>
          <w:lang w:eastAsia="fr-FR"/>
        </w:rPr>
        <w:t>itativement fixées aux articles</w:t>
      </w:r>
      <w:r w:rsidRPr="0034540D">
        <w:rPr>
          <w:rFonts w:ascii="Times New Roman" w:eastAsia="Times New Roman" w:hAnsi="Times New Roman" w:cs="Times New Roman"/>
          <w:color w:val="212529"/>
          <w:sz w:val="24"/>
          <w:szCs w:val="24"/>
          <w:lang w:eastAsia="fr-FR"/>
        </w:rPr>
        <w:t xml:space="preserve">. Ces agents autres que ceux de la BCEAO </w:t>
      </w:r>
      <w:r w:rsidRPr="0034540D">
        <w:rPr>
          <w:rFonts w:ascii="Times New Roman" w:hAnsi="Times New Roman" w:cs="Times New Roman"/>
          <w:sz w:val="24"/>
          <w:szCs w:val="24"/>
        </w:rPr>
        <w:t xml:space="preserve">désignés par le Gouverneur de la Banque Centrale ou par son représentant, doivent transmettre les procès verbaux de constat </w:t>
      </w:r>
      <w:r w:rsidR="00FC1CDA" w:rsidRPr="0034540D">
        <w:rPr>
          <w:rFonts w:ascii="Times New Roman" w:hAnsi="Times New Roman" w:cs="Times New Roman"/>
          <w:sz w:val="24"/>
          <w:szCs w:val="24"/>
        </w:rPr>
        <w:t xml:space="preserve">dressés par eux à l’occasion d’une constatation d’infraction à la législation des changes par les établissements des crédit </w:t>
      </w:r>
      <w:r w:rsidRPr="0034540D">
        <w:rPr>
          <w:rFonts w:ascii="Times New Roman" w:hAnsi="Times New Roman" w:cs="Times New Roman"/>
          <w:sz w:val="24"/>
          <w:szCs w:val="24"/>
        </w:rPr>
        <w:t>au Ministre chargé des Finances qui doit le communiquer à la BCEAO pour examen et sanction à prendre</w:t>
      </w:r>
      <w:r w:rsidR="003F4454" w:rsidRPr="0034540D">
        <w:rPr>
          <w:rFonts w:ascii="Times New Roman" w:hAnsi="Times New Roman" w:cs="Times New Roman"/>
          <w:sz w:val="24"/>
          <w:szCs w:val="24"/>
        </w:rPr>
        <w:t xml:space="preserve"> par elle </w:t>
      </w:r>
      <w:r w:rsidRPr="0034540D">
        <w:rPr>
          <w:rFonts w:ascii="Times New Roman" w:hAnsi="Times New Roman" w:cs="Times New Roman"/>
          <w:sz w:val="24"/>
          <w:szCs w:val="24"/>
        </w:rPr>
        <w:t xml:space="preserve"> ou </w:t>
      </w:r>
      <w:r w:rsidR="003F4454" w:rsidRPr="0034540D">
        <w:rPr>
          <w:rFonts w:ascii="Times New Roman" w:hAnsi="Times New Roman" w:cs="Times New Roman"/>
          <w:sz w:val="24"/>
          <w:szCs w:val="24"/>
        </w:rPr>
        <w:t xml:space="preserve">par </w:t>
      </w:r>
      <w:r w:rsidRPr="0034540D">
        <w:rPr>
          <w:rFonts w:ascii="Times New Roman" w:hAnsi="Times New Roman" w:cs="Times New Roman"/>
          <w:sz w:val="24"/>
          <w:szCs w:val="24"/>
        </w:rPr>
        <w:t>la Comm</w:t>
      </w:r>
      <w:r w:rsidR="00494148" w:rsidRPr="0034540D">
        <w:rPr>
          <w:rFonts w:ascii="Times New Roman" w:hAnsi="Times New Roman" w:cs="Times New Roman"/>
          <w:sz w:val="24"/>
          <w:szCs w:val="24"/>
        </w:rPr>
        <w:t xml:space="preserve">ission bancaire. Lorsque </w:t>
      </w:r>
      <w:r w:rsidRPr="0034540D">
        <w:rPr>
          <w:rFonts w:ascii="Times New Roman" w:hAnsi="Times New Roman" w:cs="Times New Roman"/>
          <w:sz w:val="24"/>
          <w:szCs w:val="24"/>
        </w:rPr>
        <w:t xml:space="preserve"> les procès verbaux </w:t>
      </w:r>
      <w:r w:rsidR="00494148" w:rsidRPr="0034540D">
        <w:rPr>
          <w:rFonts w:ascii="Times New Roman" w:hAnsi="Times New Roman" w:cs="Times New Roman"/>
          <w:sz w:val="24"/>
          <w:szCs w:val="24"/>
        </w:rPr>
        <w:t xml:space="preserve"> de constat </w:t>
      </w:r>
      <w:r w:rsidRPr="0034540D">
        <w:rPr>
          <w:rFonts w:ascii="Times New Roman" w:hAnsi="Times New Roman" w:cs="Times New Roman"/>
          <w:sz w:val="24"/>
          <w:szCs w:val="24"/>
        </w:rPr>
        <w:t>sont dressés par les agents habilités  de la BCEAO pour des infractions à la législation des changes dont ils</w:t>
      </w:r>
      <w:r w:rsidR="00494148" w:rsidRPr="0034540D">
        <w:rPr>
          <w:rFonts w:ascii="Times New Roman" w:hAnsi="Times New Roman" w:cs="Times New Roman"/>
          <w:sz w:val="24"/>
          <w:szCs w:val="24"/>
        </w:rPr>
        <w:t xml:space="preserve"> </w:t>
      </w:r>
      <w:r w:rsidRPr="0034540D">
        <w:rPr>
          <w:rFonts w:ascii="Times New Roman" w:hAnsi="Times New Roman" w:cs="Times New Roman"/>
          <w:sz w:val="24"/>
          <w:szCs w:val="24"/>
        </w:rPr>
        <w:t>ont connaissance dans l’exercice ou à l’occasion de l’exercice de leurs fonctions notamment lors des missions de vérification effectuées auprès des établi</w:t>
      </w:r>
      <w:r w:rsidR="00494148" w:rsidRPr="0034540D">
        <w:rPr>
          <w:rFonts w:ascii="Times New Roman" w:hAnsi="Times New Roman" w:cs="Times New Roman"/>
          <w:sz w:val="24"/>
          <w:szCs w:val="24"/>
        </w:rPr>
        <w:t xml:space="preserve">ssements de crédit, </w:t>
      </w:r>
      <w:r w:rsidRPr="0034540D">
        <w:rPr>
          <w:rFonts w:ascii="Times New Roman" w:hAnsi="Times New Roman" w:cs="Times New Roman"/>
          <w:sz w:val="24"/>
          <w:szCs w:val="24"/>
        </w:rPr>
        <w:t xml:space="preserve"> le Gouverneur de la BCEAO ou son représentant produit un rapport au Ministre chargé des Finances, des infractions à la réglementation des changes constatées par  ces dits  agents</w:t>
      </w:r>
      <w:r w:rsidR="00494148" w:rsidRPr="0034540D">
        <w:rPr>
          <w:rFonts w:ascii="Times New Roman" w:hAnsi="Times New Roman" w:cs="Times New Roman"/>
          <w:sz w:val="24"/>
          <w:szCs w:val="24"/>
        </w:rPr>
        <w:t xml:space="preserve"> qui</w:t>
      </w:r>
      <w:r w:rsidRPr="0034540D">
        <w:rPr>
          <w:rFonts w:ascii="Times New Roman" w:hAnsi="Times New Roman" w:cs="Times New Roman"/>
          <w:sz w:val="24"/>
          <w:szCs w:val="24"/>
        </w:rPr>
        <w:t xml:space="preserve"> peuvent se faire communiquer tous documents permettant d’établir l’existence de l’infraction.</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 </w:t>
      </w:r>
    </w:p>
    <w:p w:rsidR="00DA2AE2" w:rsidRPr="0034540D" w:rsidRDefault="003F4454"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b/>
          <w:sz w:val="24"/>
          <w:szCs w:val="24"/>
        </w:rPr>
        <w:t xml:space="preserve">Section II : la </w:t>
      </w:r>
      <w:r w:rsidR="00DA2AE2" w:rsidRPr="0034540D">
        <w:rPr>
          <w:rFonts w:ascii="Times New Roman" w:hAnsi="Times New Roman" w:cs="Times New Roman"/>
          <w:b/>
          <w:sz w:val="24"/>
          <w:szCs w:val="24"/>
        </w:rPr>
        <w:t xml:space="preserve">Poursuite des infractions </w:t>
      </w:r>
      <w:r w:rsidR="005432B9" w:rsidRPr="0034540D">
        <w:rPr>
          <w:rFonts w:ascii="Times New Roman" w:hAnsi="Times New Roman" w:cs="Times New Roman"/>
          <w:b/>
          <w:sz w:val="24"/>
          <w:szCs w:val="24"/>
        </w:rPr>
        <w:t xml:space="preserve">à la législation des changes </w:t>
      </w:r>
    </w:p>
    <w:p w:rsidR="0029438C" w:rsidRPr="0034540D" w:rsidRDefault="0029438C"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lastRenderedPageBreak/>
        <w:t xml:space="preserve">La poursuite de ces infractions peut être faite sur le territoire national ( 2-1) ou en dehors de celui-ci (2-2). </w:t>
      </w:r>
    </w:p>
    <w:p w:rsidR="0029438C" w:rsidRPr="0034540D" w:rsidRDefault="0029438C"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2-1) la poursuite sur le territoire national des infractions à la législation des changes</w:t>
      </w:r>
    </w:p>
    <w:p w:rsidR="00DA2AE2" w:rsidRPr="0034540D" w:rsidRDefault="00DA2AE2" w:rsidP="001E5084">
      <w:pPr>
        <w:pStyle w:val="Paragraphedeliste"/>
        <w:numPr>
          <w:ilvl w:val="0"/>
          <w:numId w:val="17"/>
        </w:numPr>
        <w:tabs>
          <w:tab w:val="left" w:pos="142"/>
          <w:tab w:val="left" w:pos="567"/>
          <w:tab w:val="left" w:pos="709"/>
        </w:tabs>
        <w:spacing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La poursuite des infractions à la législation des changes commises par les personnes physiques et les personnes morales autres que les établissements de crédit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Il ressort de la lecture de l’article 427 du Code des douanes que le droit de poursuivre la condamnation des  délinquants  à la réglementation des changes appartient au Ministre chargé des Finances ou à son représentant désigné à cet effet. L’arrêté n°013718/MEFP/DGD/DRCI du 14 juillet 2015</w:t>
      </w:r>
      <w:r w:rsidRPr="0034540D">
        <w:rPr>
          <w:rStyle w:val="Appelnotedebasdep"/>
          <w:rFonts w:ascii="Times New Roman" w:hAnsi="Times New Roman" w:cs="Times New Roman"/>
          <w:sz w:val="24"/>
          <w:szCs w:val="24"/>
        </w:rPr>
        <w:footnoteReference w:id="29"/>
      </w:r>
      <w:r w:rsidRPr="0034540D">
        <w:rPr>
          <w:rFonts w:ascii="Times New Roman" w:hAnsi="Times New Roman" w:cs="Times New Roman"/>
          <w:sz w:val="24"/>
          <w:szCs w:val="24"/>
        </w:rPr>
        <w:t xml:space="preserve"> portant désignation de représentants du Ministre chargé des Finances en matière de poursuite des infractions à la réglementation des changes de préciser  que lorsque celles-ci ont été commises par des personnes physiques  ou morales autres que les établissements de crédit,   la poursuite ne peut être effectuée que sur plainte du Ministre des Finances ou de l’un de ses représentants habilités en l’occurrence le receveur poursuivant de la Direction chargé des enquêtes  douanières. </w:t>
      </w:r>
      <w:r w:rsidR="005432B9" w:rsidRPr="0034540D">
        <w:rPr>
          <w:rFonts w:ascii="Times New Roman" w:hAnsi="Times New Roman" w:cs="Times New Roman"/>
          <w:sz w:val="24"/>
          <w:szCs w:val="24"/>
        </w:rPr>
        <w:t xml:space="preserve">C’est dire qu’en matière d’infractions à la législation des changes, la saisine des juridictions est de la compétence du Ministre chargé des Finances ou son représentant. </w:t>
      </w:r>
      <w:r w:rsidR="003F4454" w:rsidRPr="0034540D">
        <w:rPr>
          <w:rFonts w:ascii="Times New Roman" w:hAnsi="Times New Roman" w:cs="Times New Roman"/>
          <w:sz w:val="24"/>
          <w:szCs w:val="24"/>
        </w:rPr>
        <w:t>Cependant</w:t>
      </w:r>
      <w:r w:rsidR="00411E90"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 l‘action est ex</w:t>
      </w:r>
      <w:r w:rsidR="003F4454" w:rsidRPr="0034540D">
        <w:rPr>
          <w:rFonts w:ascii="Times New Roman" w:hAnsi="Times New Roman" w:cs="Times New Roman"/>
          <w:sz w:val="24"/>
          <w:szCs w:val="24"/>
        </w:rPr>
        <w:t>ercée par la Ministère public. I</w:t>
      </w:r>
      <w:r w:rsidRPr="0034540D">
        <w:rPr>
          <w:rFonts w:ascii="Times New Roman" w:hAnsi="Times New Roman" w:cs="Times New Roman"/>
          <w:sz w:val="24"/>
          <w:szCs w:val="24"/>
        </w:rPr>
        <w:t>l</w:t>
      </w:r>
      <w:r w:rsidR="003F4454"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 importe </w:t>
      </w:r>
      <w:r w:rsidR="003F4454" w:rsidRPr="0034540D">
        <w:rPr>
          <w:rFonts w:ascii="Times New Roman" w:hAnsi="Times New Roman" w:cs="Times New Roman"/>
          <w:sz w:val="24"/>
          <w:szCs w:val="24"/>
        </w:rPr>
        <w:t xml:space="preserve">toutefois de distinguer </w:t>
      </w:r>
      <w:r w:rsidRPr="0034540D">
        <w:rPr>
          <w:rFonts w:ascii="Times New Roman" w:hAnsi="Times New Roman" w:cs="Times New Roman"/>
          <w:sz w:val="24"/>
          <w:szCs w:val="24"/>
        </w:rPr>
        <w:t>l’action publique pour l’application des peines  qui appartient au Ministère public de l’action pour l’application des sanctions fiscales qui</w:t>
      </w:r>
      <w:r w:rsidR="003F4454" w:rsidRPr="0034540D">
        <w:rPr>
          <w:rFonts w:ascii="Times New Roman" w:hAnsi="Times New Roman" w:cs="Times New Roman"/>
          <w:sz w:val="24"/>
          <w:szCs w:val="24"/>
        </w:rPr>
        <w:t xml:space="preserve"> appartient à titre principal au Ministre chargé des Finances ou son représentant désigné à cet effet </w:t>
      </w:r>
      <w:r w:rsidRPr="0034540D">
        <w:rPr>
          <w:rFonts w:ascii="Times New Roman" w:hAnsi="Times New Roman" w:cs="Times New Roman"/>
          <w:sz w:val="24"/>
          <w:szCs w:val="24"/>
        </w:rPr>
        <w:t xml:space="preserve">même si le Ministère public peut l’exercer accessoirement. </w:t>
      </w:r>
      <w:r w:rsidR="005432B9" w:rsidRPr="0034540D">
        <w:rPr>
          <w:rFonts w:ascii="Times New Roman" w:hAnsi="Times New Roman" w:cs="Times New Roman"/>
          <w:sz w:val="24"/>
          <w:szCs w:val="24"/>
        </w:rPr>
        <w:t>L’</w:t>
      </w:r>
      <w:r w:rsidRPr="0034540D">
        <w:rPr>
          <w:rFonts w:ascii="Times New Roman" w:hAnsi="Times New Roman" w:cs="Times New Roman"/>
          <w:sz w:val="24"/>
          <w:szCs w:val="24"/>
        </w:rPr>
        <w:t xml:space="preserve">exercice de l’action publique par le ministère public connait </w:t>
      </w:r>
      <w:r w:rsidR="005432B9"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une certaine </w:t>
      </w:r>
      <w:r w:rsidR="005432B9" w:rsidRPr="0034540D">
        <w:rPr>
          <w:rFonts w:ascii="Times New Roman" w:hAnsi="Times New Roman" w:cs="Times New Roman"/>
          <w:sz w:val="24"/>
          <w:szCs w:val="24"/>
        </w:rPr>
        <w:t xml:space="preserve">spécificité  résultant de </w:t>
      </w:r>
      <w:r w:rsidRPr="0034540D">
        <w:rPr>
          <w:rFonts w:ascii="Times New Roman" w:hAnsi="Times New Roman" w:cs="Times New Roman"/>
          <w:sz w:val="24"/>
          <w:szCs w:val="24"/>
        </w:rPr>
        <w:t xml:space="preserve">la </w:t>
      </w:r>
      <w:r w:rsidR="00D035B0" w:rsidRPr="0034540D">
        <w:rPr>
          <w:rFonts w:ascii="Times New Roman" w:hAnsi="Times New Roman" w:cs="Times New Roman"/>
          <w:sz w:val="24"/>
          <w:szCs w:val="24"/>
        </w:rPr>
        <w:t xml:space="preserve">spécificité de la matière si l’on se réfère à la  </w:t>
      </w:r>
      <w:r w:rsidRPr="0034540D">
        <w:rPr>
          <w:rFonts w:ascii="Times New Roman" w:hAnsi="Times New Roman" w:cs="Times New Roman"/>
          <w:sz w:val="24"/>
          <w:szCs w:val="24"/>
        </w:rPr>
        <w:t xml:space="preserve">législation douanière  dans la mesure où celui-ci ne dispose pas  de la même  liberté qu’on lui  reconnait dans les procédures de droit commun. En effet, en  matière  </w:t>
      </w:r>
      <w:r w:rsidR="005432B9" w:rsidRPr="0034540D">
        <w:rPr>
          <w:rFonts w:ascii="Times New Roman" w:hAnsi="Times New Roman" w:cs="Times New Roman"/>
          <w:sz w:val="24"/>
          <w:szCs w:val="24"/>
        </w:rPr>
        <w:t>douanière</w:t>
      </w:r>
      <w:r w:rsidRPr="0034540D">
        <w:rPr>
          <w:rFonts w:ascii="Times New Roman" w:hAnsi="Times New Roman" w:cs="Times New Roman"/>
          <w:sz w:val="24"/>
          <w:szCs w:val="24"/>
        </w:rPr>
        <w:t>,</w:t>
      </w:r>
      <w:r w:rsidR="005432B9" w:rsidRPr="0034540D">
        <w:rPr>
          <w:rFonts w:ascii="Times New Roman" w:hAnsi="Times New Roman" w:cs="Times New Roman"/>
          <w:sz w:val="24"/>
          <w:szCs w:val="24"/>
        </w:rPr>
        <w:t xml:space="preserve"> le Ministère Public </w:t>
      </w:r>
      <w:r w:rsidRPr="0034540D">
        <w:rPr>
          <w:rFonts w:ascii="Times New Roman" w:hAnsi="Times New Roman" w:cs="Times New Roman"/>
          <w:sz w:val="24"/>
          <w:szCs w:val="24"/>
        </w:rPr>
        <w:t xml:space="preserve"> il n’est qu’une « </w:t>
      </w:r>
      <w:r w:rsidRPr="0034540D">
        <w:rPr>
          <w:rFonts w:ascii="Times New Roman" w:hAnsi="Times New Roman" w:cs="Times New Roman"/>
          <w:i/>
          <w:sz w:val="24"/>
          <w:szCs w:val="24"/>
        </w:rPr>
        <w:t>simple courroie de transmission</w:t>
      </w:r>
      <w:r w:rsidRPr="0034540D">
        <w:rPr>
          <w:rFonts w:ascii="Times New Roman" w:hAnsi="Times New Roman" w:cs="Times New Roman"/>
          <w:sz w:val="24"/>
          <w:szCs w:val="24"/>
        </w:rPr>
        <w:t> »</w:t>
      </w:r>
      <w:r w:rsidRPr="0034540D">
        <w:rPr>
          <w:rStyle w:val="Appelnotedebasdep"/>
          <w:rFonts w:ascii="Times New Roman" w:hAnsi="Times New Roman" w:cs="Times New Roman"/>
          <w:sz w:val="24"/>
          <w:szCs w:val="24"/>
        </w:rPr>
        <w:footnoteReference w:id="30"/>
      </w:r>
      <w:r w:rsidRPr="0034540D">
        <w:rPr>
          <w:rFonts w:ascii="Times New Roman" w:hAnsi="Times New Roman" w:cs="Times New Roman"/>
          <w:sz w:val="24"/>
          <w:szCs w:val="24"/>
        </w:rPr>
        <w:t xml:space="preserve"> puisqu’il est tenu de faire d’office toutes les poursuites pour découvrir les entrepreneurs, assureurs et d’une manière générale tous les intérêts  à la fraude. Il est en outre tenu dans le cadre des poursuites, de la </w:t>
      </w:r>
      <w:r w:rsidRPr="0034540D">
        <w:rPr>
          <w:rFonts w:ascii="Times New Roman" w:hAnsi="Times New Roman" w:cs="Times New Roman"/>
          <w:sz w:val="24"/>
          <w:szCs w:val="24"/>
        </w:rPr>
        <w:lastRenderedPageBreak/>
        <w:t xml:space="preserve">qualification des faits donnée par l’administration des douanes et l’évaluation de la valeur des marchandises faite par le receveur poursuivant compétent dans ses conclusions. </w:t>
      </w:r>
      <w:r w:rsidR="005432B9" w:rsidRPr="0034540D">
        <w:rPr>
          <w:rFonts w:ascii="Times New Roman" w:hAnsi="Times New Roman" w:cs="Times New Roman"/>
          <w:sz w:val="24"/>
          <w:szCs w:val="24"/>
        </w:rPr>
        <w:t xml:space="preserve"> Ces mêmes restrictions s’appliquent en matière d’infraction à la législation  des  changes qui doivent être poursuivies conformément à la législation  douanière.</w:t>
      </w:r>
    </w:p>
    <w:p w:rsidR="00DA2AE2" w:rsidRDefault="005432B9" w:rsidP="001E5084">
      <w:pPr>
        <w:pStyle w:val="Default"/>
        <w:tabs>
          <w:tab w:val="left" w:pos="142"/>
          <w:tab w:val="left" w:pos="567"/>
          <w:tab w:val="left" w:pos="709"/>
        </w:tabs>
        <w:spacing w:line="360" w:lineRule="auto"/>
        <w:jc w:val="both"/>
        <w:rPr>
          <w:rFonts w:ascii="Times New Roman" w:hAnsi="Times New Roman" w:cs="Times New Roman"/>
        </w:rPr>
      </w:pPr>
      <w:r w:rsidRPr="0034540D">
        <w:rPr>
          <w:rFonts w:ascii="Times New Roman" w:hAnsi="Times New Roman" w:cs="Times New Roman"/>
        </w:rPr>
        <w:t>Sous réserves de ces restrictions, le M</w:t>
      </w:r>
      <w:r w:rsidR="00DA2AE2" w:rsidRPr="0034540D">
        <w:rPr>
          <w:rFonts w:ascii="Times New Roman" w:hAnsi="Times New Roman" w:cs="Times New Roman"/>
        </w:rPr>
        <w:t>inistère  public peut soit ouvrir une information</w:t>
      </w:r>
      <w:r w:rsidR="00A1773F" w:rsidRPr="0034540D">
        <w:rPr>
          <w:rFonts w:ascii="Times New Roman" w:hAnsi="Times New Roman" w:cs="Times New Roman"/>
        </w:rPr>
        <w:t xml:space="preserve"> judiciaire en saisissant le juge d’instruction compétent</w:t>
      </w:r>
      <w:r w:rsidR="00DA2AE2" w:rsidRPr="0034540D">
        <w:rPr>
          <w:rFonts w:ascii="Times New Roman" w:hAnsi="Times New Roman" w:cs="Times New Roman"/>
        </w:rPr>
        <w:t xml:space="preserve"> </w:t>
      </w:r>
      <w:r w:rsidRPr="0034540D">
        <w:rPr>
          <w:rFonts w:ascii="Times New Roman" w:hAnsi="Times New Roman" w:cs="Times New Roman"/>
        </w:rPr>
        <w:t xml:space="preserve">soit </w:t>
      </w:r>
      <w:r w:rsidR="00DA2AE2" w:rsidRPr="0034540D">
        <w:rPr>
          <w:rFonts w:ascii="Times New Roman" w:hAnsi="Times New Roman" w:cs="Times New Roman"/>
        </w:rPr>
        <w:t>procéder  par la voie de la citation directe</w:t>
      </w:r>
      <w:r w:rsidR="00D035B0" w:rsidRPr="0034540D">
        <w:rPr>
          <w:rFonts w:ascii="Times New Roman" w:hAnsi="Times New Roman" w:cs="Times New Roman"/>
        </w:rPr>
        <w:t>.</w:t>
      </w:r>
      <w:r w:rsidR="00DA2AE2" w:rsidRPr="0034540D">
        <w:rPr>
          <w:rFonts w:ascii="Times New Roman" w:hAnsi="Times New Roman" w:cs="Times New Roman"/>
        </w:rPr>
        <w:t xml:space="preserve">  Si le Ministère  Public estime devoir ouvrir une information judiciaire, le juge d’instruction saisi par un réquisitoire introductif mène ses investigations dans les formes habituelles en tenant toutefois compte de la spécificité de la matière. Ainsi le juge d’instruction</w:t>
      </w:r>
      <w:r w:rsidR="00DA2AE2" w:rsidRPr="0034540D">
        <w:rPr>
          <w:rStyle w:val="Appelnotedebasdep"/>
          <w:rFonts w:ascii="Times New Roman" w:hAnsi="Times New Roman" w:cs="Times New Roman"/>
        </w:rPr>
        <w:footnoteReference w:id="31"/>
      </w:r>
      <w:r w:rsidR="00DA2AE2" w:rsidRPr="0034540D">
        <w:rPr>
          <w:rFonts w:ascii="Times New Roman" w:hAnsi="Times New Roman" w:cs="Times New Roman"/>
        </w:rPr>
        <w:t xml:space="preserve"> est tenu  de décerner mandat d’arrêt contre </w:t>
      </w:r>
      <w:r w:rsidR="00DA2AE2" w:rsidRPr="0034540D">
        <w:rPr>
          <w:rFonts w:ascii="Times New Roman" w:hAnsi="Times New Roman" w:cs="Times New Roman"/>
        </w:rPr>
        <w:lastRenderedPageBreak/>
        <w:t>le ou les inculpés en fuite ou mandat de dépôt  lorsque la personne est poursuivie pour une peine d'emprisonnement en vertu  des dispositions légales relatives à la législation  des changes et que la valeur des  de l’objet de la fraude est supérieure  ou égale à 10 000 000  de francs, sauf paiement de la totalité des droits et taxes. En cas de détention provisoire, la mainlevée   du mandat de dépôt  ne peut être prononcée  et la demande de mise en liberté provisoire est déclarée irrecevable si la valeur de l'objet de fraude est égale ou supérieure à 10.000.000 de francs, si le Ministère  public s’oppose par réquisitions écrites , s’il n ya pas de paiement des droits et taxes dus ou  versement d'un cautionnement égal au montant des droits et taxes dus ou au montant de la valeur de l'objet de fraude lorsqu'il n'y a pas de droits compromis</w:t>
      </w:r>
      <w:r w:rsidR="0016447D" w:rsidRPr="0034540D">
        <w:rPr>
          <w:rStyle w:val="Appelnotedebasdep"/>
          <w:rFonts w:ascii="Times New Roman" w:hAnsi="Times New Roman" w:cs="Times New Roman"/>
        </w:rPr>
        <w:footnoteReference w:id="32"/>
      </w:r>
      <w:r w:rsidR="00DA2AE2" w:rsidRPr="0034540D">
        <w:rPr>
          <w:rFonts w:ascii="Times New Roman" w:hAnsi="Times New Roman" w:cs="Times New Roman"/>
        </w:rPr>
        <w:t xml:space="preserve"> ou éludés</w:t>
      </w:r>
      <w:r w:rsidR="0016447D" w:rsidRPr="0034540D">
        <w:rPr>
          <w:rStyle w:val="Appelnotedebasdep"/>
          <w:rFonts w:ascii="Times New Roman" w:hAnsi="Times New Roman" w:cs="Times New Roman"/>
        </w:rPr>
        <w:footnoteReference w:id="33"/>
      </w:r>
      <w:r w:rsidR="00DA2AE2" w:rsidRPr="0034540D">
        <w:rPr>
          <w:rFonts w:ascii="Times New Roman" w:hAnsi="Times New Roman" w:cs="Times New Roman"/>
        </w:rPr>
        <w:t>, mais aussi dans le</w:t>
      </w:r>
      <w:r w:rsidR="0016447D" w:rsidRPr="0034540D">
        <w:rPr>
          <w:rFonts w:ascii="Times New Roman" w:hAnsi="Times New Roman" w:cs="Times New Roman"/>
        </w:rPr>
        <w:t xml:space="preserve">s cas prévus par l’article 129 </w:t>
      </w:r>
      <w:r w:rsidR="00DA2AE2" w:rsidRPr="0034540D">
        <w:rPr>
          <w:rFonts w:ascii="Times New Roman" w:hAnsi="Times New Roman" w:cs="Times New Roman"/>
        </w:rPr>
        <w:t>du code de procédure pénale.</w:t>
      </w:r>
    </w:p>
    <w:p w:rsidR="00567E11" w:rsidRPr="00567E11" w:rsidRDefault="00567E11" w:rsidP="001E5084">
      <w:pPr>
        <w:pStyle w:val="Default"/>
        <w:tabs>
          <w:tab w:val="left" w:pos="142"/>
          <w:tab w:val="left" w:pos="567"/>
          <w:tab w:val="left" w:pos="709"/>
        </w:tabs>
        <w:spacing w:line="360" w:lineRule="auto"/>
        <w:jc w:val="both"/>
        <w:rPr>
          <w:rFonts w:ascii="Times New Roman" w:eastAsia="Times New Roman" w:hAnsi="Times New Roman" w:cs="Times New Roman"/>
          <w:b/>
          <w:color w:val="212529"/>
          <w:szCs w:val="34"/>
          <w:lang w:eastAsia="fr-FR"/>
        </w:rPr>
      </w:pPr>
      <w:r w:rsidRPr="00567E11">
        <w:rPr>
          <w:rFonts w:ascii="Times New Roman" w:eastAsia="Times New Roman" w:hAnsi="Times New Roman" w:cs="Times New Roman"/>
          <w:b/>
          <w:color w:val="212529"/>
          <w:szCs w:val="34"/>
          <w:lang w:eastAsia="fr-FR"/>
        </w:rPr>
        <w:t xml:space="preserve">Cour Suprême, arrêt n°13  du 19 mars  2020, Procureur de la République c/ Alpha BA et autres </w:t>
      </w:r>
      <w:r w:rsidRPr="002A1686">
        <w:rPr>
          <w:rFonts w:ascii="Times New Roman" w:eastAsia="Times New Roman" w:hAnsi="Times New Roman" w:cs="Times New Roman"/>
          <w:b/>
          <w:color w:val="212529"/>
          <w:szCs w:val="34"/>
          <w:lang w:eastAsia="fr-FR"/>
        </w:rPr>
        <w:br/>
      </w:r>
    </w:p>
    <w:p w:rsidR="00567E11" w:rsidRPr="00567E11" w:rsidRDefault="00567E11" w:rsidP="001E5084">
      <w:pPr>
        <w:pStyle w:val="Default"/>
        <w:tabs>
          <w:tab w:val="left" w:pos="142"/>
          <w:tab w:val="left" w:pos="567"/>
          <w:tab w:val="left" w:pos="709"/>
        </w:tabs>
        <w:spacing w:line="360" w:lineRule="auto"/>
        <w:jc w:val="both"/>
        <w:rPr>
          <w:rFonts w:ascii="Times New Roman" w:hAnsi="Times New Roman" w:cs="Times New Roman"/>
          <w:sz w:val="20"/>
        </w:rPr>
      </w:pPr>
      <w:r>
        <w:rPr>
          <w:rFonts w:ascii="Times New Roman" w:eastAsia="Times New Roman" w:hAnsi="Times New Roman" w:cs="Times New Roman"/>
          <w:color w:val="212529"/>
          <w:szCs w:val="34"/>
          <w:lang w:eastAsia="fr-FR"/>
        </w:rPr>
        <w:t>« </w:t>
      </w:r>
      <w:r w:rsidRPr="002A1686">
        <w:rPr>
          <w:rFonts w:ascii="Times New Roman" w:eastAsia="Times New Roman" w:hAnsi="Times New Roman" w:cs="Times New Roman"/>
          <w:i/>
          <w:color w:val="212529"/>
          <w:szCs w:val="34"/>
          <w:lang w:eastAsia="fr-FR"/>
        </w:rPr>
        <w:t xml:space="preserve">Encourt la cassation pour violation de l’article 344 du code des douanes, l’arrêt de la chambre d'accusation ordonnant la mise ne liberté provisoire sans s'assurer que les inculpés poursuivis, entre autres, de complicité contrebande en bande organisée, ont procédé au paiement des droits et taxes dus, s’il y a </w:t>
      </w:r>
      <w:r w:rsidRPr="00567E11">
        <w:rPr>
          <w:rFonts w:ascii="Times New Roman" w:eastAsia="Times New Roman" w:hAnsi="Times New Roman" w:cs="Times New Roman"/>
          <w:i/>
          <w:color w:val="212529"/>
          <w:szCs w:val="34"/>
          <w:lang w:eastAsia="fr-FR"/>
        </w:rPr>
        <w:t>lieu, au versement d’un caution</w:t>
      </w:r>
      <w:r w:rsidRPr="002A1686">
        <w:rPr>
          <w:rFonts w:ascii="Times New Roman" w:eastAsia="Times New Roman" w:hAnsi="Times New Roman" w:cs="Times New Roman"/>
          <w:i/>
          <w:color w:val="212529"/>
          <w:szCs w:val="34"/>
          <w:lang w:eastAsia="fr-FR"/>
        </w:rPr>
        <w:t xml:space="preserve">nement égal au montant de la valeur de l’objet de fraude, lorsqu'il n’y a pas de </w:t>
      </w:r>
      <w:r w:rsidRPr="002A1686">
        <w:rPr>
          <w:rFonts w:ascii="Times New Roman" w:eastAsia="Times New Roman" w:hAnsi="Times New Roman" w:cs="Times New Roman"/>
          <w:i/>
          <w:color w:val="212529"/>
          <w:szCs w:val="34"/>
          <w:lang w:eastAsia="fr-FR"/>
        </w:rPr>
        <w:lastRenderedPageBreak/>
        <w:t>droits compromis ou éludés, à défaut de preuve de la fausseté du procès-verbal servant de base aux poursuites ou de transaction définitive</w:t>
      </w:r>
      <w:r>
        <w:rPr>
          <w:rFonts w:ascii="Times New Roman" w:eastAsia="Times New Roman" w:hAnsi="Times New Roman" w:cs="Times New Roman"/>
          <w:color w:val="212529"/>
          <w:szCs w:val="34"/>
          <w:lang w:eastAsia="fr-FR"/>
        </w:rPr>
        <w:t> »</w:t>
      </w:r>
      <w:r w:rsidRPr="002A1686">
        <w:rPr>
          <w:rFonts w:ascii="Times New Roman" w:eastAsia="Times New Roman" w:hAnsi="Times New Roman" w:cs="Times New Roman"/>
          <w:color w:val="212529"/>
          <w:szCs w:val="34"/>
          <w:lang w:eastAsia="fr-FR"/>
        </w:rPr>
        <w:t>.</w:t>
      </w:r>
    </w:p>
    <w:p w:rsidR="008B4B01"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Pour ce qui est de l’exercice de l’action pour </w:t>
      </w:r>
      <w:r w:rsidR="00A1773F" w:rsidRPr="0034540D">
        <w:rPr>
          <w:rFonts w:ascii="Times New Roman" w:hAnsi="Times New Roman" w:cs="Times New Roman"/>
          <w:sz w:val="24"/>
          <w:szCs w:val="24"/>
        </w:rPr>
        <w:t>l</w:t>
      </w:r>
      <w:r w:rsidRPr="0034540D">
        <w:rPr>
          <w:rFonts w:ascii="Times New Roman" w:hAnsi="Times New Roman" w:cs="Times New Roman"/>
          <w:sz w:val="24"/>
          <w:szCs w:val="24"/>
        </w:rPr>
        <w:t>‘application des sanctions fiscales</w:t>
      </w:r>
      <w:r w:rsidR="00A1773F" w:rsidRPr="0034540D">
        <w:rPr>
          <w:rFonts w:ascii="Times New Roman" w:hAnsi="Times New Roman" w:cs="Times New Roman"/>
          <w:sz w:val="24"/>
          <w:szCs w:val="24"/>
        </w:rPr>
        <w:t xml:space="preserve"> notamment l’amende et les confiscations</w:t>
      </w:r>
      <w:r w:rsidRPr="0034540D">
        <w:rPr>
          <w:rFonts w:ascii="Times New Roman" w:hAnsi="Times New Roman" w:cs="Times New Roman"/>
          <w:sz w:val="24"/>
          <w:szCs w:val="24"/>
        </w:rPr>
        <w:t>,</w:t>
      </w:r>
      <w:r w:rsidR="004A22EE" w:rsidRPr="0034540D">
        <w:rPr>
          <w:rFonts w:ascii="Times New Roman" w:hAnsi="Times New Roman" w:cs="Times New Roman"/>
          <w:sz w:val="24"/>
          <w:szCs w:val="24"/>
        </w:rPr>
        <w:t xml:space="preserve"> il ressort de la lecture de l’article 427 du code des douanes qu’</w:t>
      </w:r>
      <w:r w:rsidRPr="0034540D">
        <w:rPr>
          <w:rFonts w:ascii="Times New Roman" w:hAnsi="Times New Roman" w:cs="Times New Roman"/>
          <w:sz w:val="24"/>
          <w:szCs w:val="24"/>
        </w:rPr>
        <w:t xml:space="preserve"> elle demeure</w:t>
      </w:r>
      <w:r w:rsidR="004A22EE" w:rsidRPr="0034540D">
        <w:rPr>
          <w:rFonts w:ascii="Times New Roman" w:hAnsi="Times New Roman" w:cs="Times New Roman"/>
          <w:sz w:val="24"/>
          <w:szCs w:val="24"/>
        </w:rPr>
        <w:t>, en matière de changes,</w:t>
      </w:r>
      <w:r w:rsidRPr="0034540D">
        <w:rPr>
          <w:rFonts w:ascii="Times New Roman" w:hAnsi="Times New Roman" w:cs="Times New Roman"/>
          <w:sz w:val="24"/>
          <w:szCs w:val="24"/>
        </w:rPr>
        <w:t xml:space="preserve">  à titre principal un attribut d</w:t>
      </w:r>
      <w:r w:rsidR="004A22EE" w:rsidRPr="0034540D">
        <w:rPr>
          <w:rFonts w:ascii="Times New Roman" w:hAnsi="Times New Roman" w:cs="Times New Roman"/>
          <w:sz w:val="24"/>
          <w:szCs w:val="24"/>
        </w:rPr>
        <w:t>u Ministre Chargé des Finances ou de son représentant habilité à cet effet</w:t>
      </w:r>
      <w:r w:rsidR="00A1773F" w:rsidRPr="0034540D">
        <w:rPr>
          <w:rFonts w:ascii="Times New Roman" w:hAnsi="Times New Roman" w:cs="Times New Roman"/>
          <w:sz w:val="24"/>
          <w:szCs w:val="24"/>
        </w:rPr>
        <w:t xml:space="preserve"> même si elle peut être exercée en même temps que  l’action publique par le Ministère Public. </w:t>
      </w:r>
      <w:r w:rsidR="004A22EE" w:rsidRPr="0034540D">
        <w:rPr>
          <w:rFonts w:ascii="Times New Roman" w:hAnsi="Times New Roman" w:cs="Times New Roman"/>
          <w:sz w:val="24"/>
          <w:szCs w:val="24"/>
        </w:rPr>
        <w:t xml:space="preserve">Ainsi donc, le Ministre chargé des Finances ou son représentant peut se constitue partie civile.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Cependant, il ya lieu de préciser que l’</w:t>
      </w:r>
      <w:r w:rsidR="0063687D" w:rsidRPr="0034540D">
        <w:rPr>
          <w:rFonts w:ascii="Times New Roman" w:hAnsi="Times New Roman" w:cs="Times New Roman"/>
          <w:sz w:val="24"/>
          <w:szCs w:val="24"/>
        </w:rPr>
        <w:t>extinction de l’action publique</w:t>
      </w:r>
      <w:r w:rsidRPr="0034540D">
        <w:rPr>
          <w:rFonts w:ascii="Times New Roman" w:hAnsi="Times New Roman" w:cs="Times New Roman"/>
          <w:sz w:val="24"/>
          <w:szCs w:val="24"/>
        </w:rPr>
        <w:t xml:space="preserve"> est acquise par la prescription, la mort de l’auteur de l’infraction et la transaction.</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Pour ce qui est de la prescription, le délai </w:t>
      </w:r>
      <w:r w:rsidR="004A22EE" w:rsidRPr="0034540D">
        <w:rPr>
          <w:rFonts w:ascii="Times New Roman" w:hAnsi="Times New Roman" w:cs="Times New Roman"/>
          <w:sz w:val="24"/>
          <w:szCs w:val="24"/>
        </w:rPr>
        <w:t xml:space="preserve">en matière d’infraction à la législation  des changes  est </w:t>
      </w:r>
      <w:r w:rsidRPr="0034540D">
        <w:rPr>
          <w:rFonts w:ascii="Times New Roman" w:hAnsi="Times New Roman" w:cs="Times New Roman"/>
          <w:sz w:val="24"/>
          <w:szCs w:val="24"/>
        </w:rPr>
        <w:t xml:space="preserve"> celui de droit commun comme le prévoit  l’article 14 de la loi 2014-12</w:t>
      </w:r>
      <w:r w:rsidR="0063687D" w:rsidRPr="0034540D">
        <w:rPr>
          <w:rFonts w:ascii="Times New Roman" w:hAnsi="Times New Roman" w:cs="Times New Roman"/>
          <w:sz w:val="24"/>
          <w:szCs w:val="24"/>
        </w:rPr>
        <w:t xml:space="preserve"> du 28 février 2014  sur </w:t>
      </w:r>
      <w:r w:rsidR="0063687D" w:rsidRPr="0034540D">
        <w:rPr>
          <w:rFonts w:ascii="Times New Roman" w:hAnsi="Times New Roman" w:cs="Times New Roman"/>
          <w:bCs/>
          <w:sz w:val="24"/>
          <w:szCs w:val="24"/>
        </w:rPr>
        <w:t xml:space="preserve">le contentieux des infractions à la réglementation des relations financières  extérieures  des Etats membres de l’Union Economique et Monétaire  Ouest Africaine (UEMOA). </w:t>
      </w:r>
      <w:r w:rsidRPr="0034540D">
        <w:rPr>
          <w:rFonts w:ascii="Times New Roman" w:hAnsi="Times New Roman" w:cs="Times New Roman"/>
          <w:sz w:val="24"/>
          <w:szCs w:val="24"/>
        </w:rPr>
        <w:t xml:space="preserve"> </w:t>
      </w:r>
      <w:r w:rsidR="00B73845" w:rsidRPr="0034540D">
        <w:rPr>
          <w:rFonts w:ascii="Times New Roman" w:hAnsi="Times New Roman" w:cs="Times New Roman"/>
          <w:sz w:val="24"/>
          <w:szCs w:val="24"/>
        </w:rPr>
        <w:t xml:space="preserve">L’article 331 du codes douanes de préciser que « Toutefois, en matière d'infraction au contrôle des changes, l'action publique se prescrit dans les mêmes délais et dans les mêmes conditions qu'en matière de délit de détournement de deniers publics ». </w:t>
      </w:r>
      <w:r w:rsidRPr="0034540D">
        <w:rPr>
          <w:rFonts w:ascii="Times New Roman" w:hAnsi="Times New Roman" w:cs="Times New Roman"/>
          <w:sz w:val="24"/>
          <w:szCs w:val="24"/>
        </w:rPr>
        <w:t xml:space="preserve">Le délai de </w:t>
      </w:r>
      <w:r w:rsidR="00B73845" w:rsidRPr="0034540D">
        <w:rPr>
          <w:rFonts w:ascii="Times New Roman" w:hAnsi="Times New Roman" w:cs="Times New Roman"/>
          <w:sz w:val="24"/>
          <w:szCs w:val="24"/>
        </w:rPr>
        <w:t xml:space="preserve"> prescription de </w:t>
      </w:r>
      <w:r w:rsidRPr="0034540D">
        <w:rPr>
          <w:rFonts w:ascii="Times New Roman" w:hAnsi="Times New Roman" w:cs="Times New Roman"/>
          <w:sz w:val="24"/>
          <w:szCs w:val="24"/>
        </w:rPr>
        <w:t>droit commun</w:t>
      </w:r>
      <w:r w:rsidRPr="0034540D">
        <w:rPr>
          <w:rStyle w:val="Appelnotedebasdep"/>
          <w:rFonts w:ascii="Times New Roman" w:hAnsi="Times New Roman" w:cs="Times New Roman"/>
          <w:sz w:val="24"/>
          <w:szCs w:val="24"/>
        </w:rPr>
        <w:footnoteReference w:id="34"/>
      </w:r>
      <w:r w:rsidRPr="0034540D">
        <w:rPr>
          <w:rFonts w:ascii="Times New Roman" w:hAnsi="Times New Roman" w:cs="Times New Roman"/>
          <w:sz w:val="24"/>
          <w:szCs w:val="24"/>
        </w:rPr>
        <w:t xml:space="preserve"> </w:t>
      </w:r>
      <w:r w:rsidR="00B73845" w:rsidRPr="0034540D">
        <w:rPr>
          <w:rFonts w:ascii="Times New Roman" w:hAnsi="Times New Roman" w:cs="Times New Roman"/>
          <w:sz w:val="24"/>
          <w:szCs w:val="24"/>
        </w:rPr>
        <w:t xml:space="preserve">prévue pour cette infraction est de sept(07)  révolues à compter du jour où le fait délictueux a été commis.  C’es dire en conséquence que le </w:t>
      </w:r>
      <w:r w:rsidR="00C013CF" w:rsidRPr="0034540D">
        <w:rPr>
          <w:rFonts w:ascii="Times New Roman" w:hAnsi="Times New Roman" w:cs="Times New Roman"/>
          <w:sz w:val="24"/>
          <w:szCs w:val="24"/>
        </w:rPr>
        <w:t>délai</w:t>
      </w:r>
      <w:r w:rsidR="00B73845" w:rsidRPr="0034540D">
        <w:rPr>
          <w:rFonts w:ascii="Times New Roman" w:hAnsi="Times New Roman" w:cs="Times New Roman"/>
          <w:sz w:val="24"/>
          <w:szCs w:val="24"/>
        </w:rPr>
        <w:t xml:space="preserve"> de prescription </w:t>
      </w:r>
      <w:r w:rsidR="00C013CF" w:rsidRPr="0034540D">
        <w:rPr>
          <w:rFonts w:ascii="Times New Roman" w:hAnsi="Times New Roman" w:cs="Times New Roman"/>
          <w:sz w:val="24"/>
          <w:szCs w:val="24"/>
        </w:rPr>
        <w:t xml:space="preserve"> de droit commun pour l</w:t>
      </w:r>
      <w:r w:rsidR="00B73845" w:rsidRPr="0034540D">
        <w:rPr>
          <w:rFonts w:ascii="Times New Roman" w:hAnsi="Times New Roman" w:cs="Times New Roman"/>
          <w:sz w:val="24"/>
          <w:szCs w:val="24"/>
        </w:rPr>
        <w:t>es infractions à la législation  des changes  est de sept (07)</w:t>
      </w:r>
      <w:r w:rsidRPr="0034540D">
        <w:rPr>
          <w:rFonts w:ascii="Times New Roman" w:hAnsi="Times New Roman" w:cs="Times New Roman"/>
          <w:sz w:val="24"/>
          <w:szCs w:val="24"/>
        </w:rPr>
        <w:t xml:space="preserve">  années révolues à compter du jour où le délit  a été commis si dans cet intervalle, il n’a été fait  aucun acte de poursuite ou d’instruction.  S’il en a été effectué dans cet intervalle</w:t>
      </w:r>
      <w:r w:rsidR="00C013CF" w:rsidRPr="0034540D">
        <w:rPr>
          <w:rFonts w:ascii="Times New Roman" w:hAnsi="Times New Roman" w:cs="Times New Roman"/>
          <w:sz w:val="24"/>
          <w:szCs w:val="24"/>
        </w:rPr>
        <w:t>, elle ne se prescrit qu’après sept  (07</w:t>
      </w:r>
      <w:r w:rsidRPr="0034540D">
        <w:rPr>
          <w:rFonts w:ascii="Times New Roman" w:hAnsi="Times New Roman" w:cs="Times New Roman"/>
          <w:sz w:val="24"/>
          <w:szCs w:val="24"/>
        </w:rPr>
        <w:t>) années révolues à compter du dernier acte. Il en est ainsi même à l’égard des personnes qui ne seraient pas impliquées dans cet acte d’instruction</w:t>
      </w:r>
      <w:r w:rsidR="0063687D" w:rsidRPr="0034540D">
        <w:rPr>
          <w:rStyle w:val="Appelnotedebasdep"/>
          <w:rFonts w:ascii="Times New Roman" w:hAnsi="Times New Roman" w:cs="Times New Roman"/>
          <w:sz w:val="24"/>
          <w:szCs w:val="24"/>
        </w:rPr>
        <w:footnoteReference w:id="35"/>
      </w:r>
      <w:r w:rsidRPr="0034540D">
        <w:rPr>
          <w:rFonts w:ascii="Times New Roman" w:hAnsi="Times New Roman" w:cs="Times New Roman"/>
          <w:sz w:val="24"/>
          <w:szCs w:val="24"/>
        </w:rPr>
        <w:t xml:space="preserve"> ou de poursuite</w:t>
      </w:r>
      <w:r w:rsidR="008D7406" w:rsidRPr="0034540D">
        <w:rPr>
          <w:rStyle w:val="Appelnotedebasdep"/>
          <w:rFonts w:ascii="Times New Roman" w:hAnsi="Times New Roman" w:cs="Times New Roman"/>
          <w:sz w:val="24"/>
          <w:szCs w:val="24"/>
        </w:rPr>
        <w:footnoteReference w:id="36"/>
      </w:r>
      <w:r w:rsidRPr="0034540D">
        <w:rPr>
          <w:rFonts w:ascii="Times New Roman" w:hAnsi="Times New Roman" w:cs="Times New Roman"/>
          <w:sz w:val="24"/>
          <w:szCs w:val="24"/>
        </w:rPr>
        <w:t>. Cette prescription est cependant suspendue par tout obstacle de droit ou de fait</w:t>
      </w:r>
      <w:r w:rsidR="0016447D" w:rsidRPr="0034540D">
        <w:rPr>
          <w:rStyle w:val="Appelnotedebasdep"/>
          <w:rFonts w:ascii="Times New Roman" w:hAnsi="Times New Roman" w:cs="Times New Roman"/>
          <w:sz w:val="24"/>
          <w:szCs w:val="24"/>
        </w:rPr>
        <w:footnoteReference w:id="37"/>
      </w:r>
      <w:r w:rsidRPr="0034540D">
        <w:rPr>
          <w:rFonts w:ascii="Times New Roman" w:hAnsi="Times New Roman" w:cs="Times New Roman"/>
          <w:sz w:val="24"/>
          <w:szCs w:val="24"/>
        </w:rPr>
        <w:t xml:space="preserve"> empêchant l’exercice de l’action publique</w:t>
      </w:r>
      <w:r w:rsidR="00F872A8" w:rsidRPr="0034540D">
        <w:rPr>
          <w:rFonts w:ascii="Times New Roman" w:hAnsi="Times New Roman" w:cs="Times New Roman"/>
          <w:sz w:val="24"/>
          <w:szCs w:val="24"/>
        </w:rPr>
        <w:t>.</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lastRenderedPageBreak/>
        <w:t>Toutefois, lorsque l’existence de l’infraction a été dissimulée par des manœuvres  frauduleuses, la prescription court à compter de la date de la découverte de l’infraction.</w:t>
      </w:r>
      <w:r w:rsidR="002D4813" w:rsidRPr="0034540D">
        <w:rPr>
          <w:rFonts w:ascii="Times New Roman" w:hAnsi="Times New Roman" w:cs="Times New Roman"/>
          <w:sz w:val="24"/>
          <w:szCs w:val="24"/>
        </w:rPr>
        <w:t xml:space="preserve"> C’est le cas lorsque par des manœuvre</w:t>
      </w:r>
      <w:r w:rsidR="008D7406" w:rsidRPr="0034540D">
        <w:rPr>
          <w:rFonts w:ascii="Times New Roman" w:hAnsi="Times New Roman" w:cs="Times New Roman"/>
          <w:sz w:val="24"/>
          <w:szCs w:val="24"/>
        </w:rPr>
        <w:t>s</w:t>
      </w:r>
      <w:r w:rsidR="002D4813" w:rsidRPr="0034540D">
        <w:rPr>
          <w:rFonts w:ascii="Times New Roman" w:hAnsi="Times New Roman" w:cs="Times New Roman"/>
          <w:sz w:val="24"/>
          <w:szCs w:val="24"/>
        </w:rPr>
        <w:t xml:space="preserve"> frauduleuses du </w:t>
      </w:r>
      <w:r w:rsidR="006E1E2A" w:rsidRPr="0034540D">
        <w:rPr>
          <w:rFonts w:ascii="Times New Roman" w:hAnsi="Times New Roman" w:cs="Times New Roman"/>
          <w:sz w:val="24"/>
          <w:szCs w:val="24"/>
        </w:rPr>
        <w:t>prévenu, l’infraction n’a pu être constatée par les agents habilités pour permettre au Ministre chargé des Finances ou son représentant</w:t>
      </w:r>
      <w:r w:rsidR="005E2366" w:rsidRPr="0034540D">
        <w:rPr>
          <w:rFonts w:ascii="Times New Roman" w:hAnsi="Times New Roman" w:cs="Times New Roman"/>
          <w:sz w:val="24"/>
          <w:szCs w:val="24"/>
        </w:rPr>
        <w:t xml:space="preserve"> d’exercer d’action pour poursuivre la sanction de celle-ci.</w:t>
      </w:r>
    </w:p>
    <w:p w:rsidR="00DA2AE2" w:rsidRPr="0034540D" w:rsidRDefault="00DA2AE2" w:rsidP="001E5084">
      <w:pPr>
        <w:pStyle w:val="Paragraphedeliste"/>
        <w:numPr>
          <w:ilvl w:val="0"/>
          <w:numId w:val="16"/>
        </w:numPr>
        <w:tabs>
          <w:tab w:val="left" w:pos="142"/>
          <w:tab w:val="left" w:pos="567"/>
          <w:tab w:val="left" w:pos="709"/>
        </w:tabs>
        <w:autoSpaceDE w:val="0"/>
        <w:autoSpaceDN w:val="0"/>
        <w:adjustRightInd w:val="0"/>
        <w:spacing w:after="0" w:line="360" w:lineRule="auto"/>
        <w:ind w:left="0" w:firstLine="0"/>
        <w:jc w:val="both"/>
        <w:rPr>
          <w:rFonts w:ascii="Times New Roman" w:hAnsi="Times New Roman" w:cs="Times New Roman"/>
          <w:b/>
          <w:sz w:val="24"/>
          <w:szCs w:val="24"/>
        </w:rPr>
      </w:pPr>
      <w:r w:rsidRPr="0034540D">
        <w:rPr>
          <w:rFonts w:ascii="Times New Roman" w:hAnsi="Times New Roman" w:cs="Times New Roman"/>
          <w:b/>
          <w:sz w:val="24"/>
          <w:szCs w:val="24"/>
        </w:rPr>
        <w:t>La poursuite des infractions à la législation des changes commise</w:t>
      </w:r>
      <w:r w:rsidR="005432B9" w:rsidRPr="0034540D">
        <w:rPr>
          <w:rFonts w:ascii="Times New Roman" w:hAnsi="Times New Roman" w:cs="Times New Roman"/>
          <w:b/>
          <w:sz w:val="24"/>
          <w:szCs w:val="24"/>
        </w:rPr>
        <w:t>s</w:t>
      </w:r>
      <w:r w:rsidRPr="0034540D">
        <w:rPr>
          <w:rFonts w:ascii="Times New Roman" w:hAnsi="Times New Roman" w:cs="Times New Roman"/>
          <w:b/>
          <w:sz w:val="24"/>
          <w:szCs w:val="24"/>
        </w:rPr>
        <w:t xml:space="preserve"> par les établissements de crédit </w:t>
      </w:r>
    </w:p>
    <w:p w:rsidR="00793CD4" w:rsidRPr="0034540D" w:rsidRDefault="00C013CF"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L</w:t>
      </w:r>
      <w:r w:rsidR="00A01EA3" w:rsidRPr="0034540D">
        <w:rPr>
          <w:rFonts w:ascii="Times New Roman" w:hAnsi="Times New Roman" w:cs="Times New Roman"/>
          <w:sz w:val="24"/>
          <w:szCs w:val="24"/>
        </w:rPr>
        <w:t>’article</w:t>
      </w:r>
      <w:r w:rsidR="006F5CD1" w:rsidRPr="0034540D">
        <w:rPr>
          <w:rFonts w:ascii="Times New Roman" w:hAnsi="Times New Roman" w:cs="Times New Roman"/>
          <w:sz w:val="24"/>
          <w:szCs w:val="24"/>
        </w:rPr>
        <w:t xml:space="preserve"> </w:t>
      </w:r>
      <w:r w:rsidR="00A01EA3" w:rsidRPr="0034540D">
        <w:rPr>
          <w:rFonts w:ascii="Times New Roman" w:hAnsi="Times New Roman" w:cs="Times New Roman"/>
          <w:sz w:val="24"/>
          <w:szCs w:val="24"/>
        </w:rPr>
        <w:t xml:space="preserve"> 6 de la loi n°2014-26 </w:t>
      </w:r>
      <w:r w:rsidR="008D7406" w:rsidRPr="0034540D">
        <w:rPr>
          <w:rFonts w:ascii="Times New Roman" w:hAnsi="Times New Roman" w:cs="Times New Roman"/>
          <w:bCs/>
          <w:sz w:val="24"/>
          <w:szCs w:val="24"/>
        </w:rPr>
        <w:t xml:space="preserve">28 février 2014  sur le contentieux des infractions à la réglementation des relations financières  extérieures  des Etats membres de l’Union Economique et Monétaire  Ouest Africaine (UEMOA) </w:t>
      </w:r>
      <w:r w:rsidR="006F5CD1" w:rsidRPr="0034540D">
        <w:rPr>
          <w:rFonts w:ascii="Times New Roman" w:hAnsi="Times New Roman" w:cs="Times New Roman"/>
          <w:sz w:val="24"/>
          <w:szCs w:val="24"/>
        </w:rPr>
        <w:t xml:space="preserve">dispose </w:t>
      </w:r>
      <w:r w:rsidR="00A01EA3" w:rsidRPr="0034540D">
        <w:rPr>
          <w:rFonts w:ascii="Times New Roman" w:hAnsi="Times New Roman" w:cs="Times New Roman"/>
          <w:sz w:val="24"/>
          <w:szCs w:val="24"/>
        </w:rPr>
        <w:t>que « Les procès verbaux constatant les infractions</w:t>
      </w:r>
      <w:r w:rsidR="006F5CD1" w:rsidRPr="0034540D">
        <w:rPr>
          <w:rFonts w:ascii="Times New Roman" w:hAnsi="Times New Roman" w:cs="Times New Roman"/>
          <w:sz w:val="24"/>
          <w:szCs w:val="24"/>
        </w:rPr>
        <w:t xml:space="preserve"> commises par les établ</w:t>
      </w:r>
      <w:r w:rsidR="00A01EA3" w:rsidRPr="0034540D">
        <w:rPr>
          <w:rFonts w:ascii="Times New Roman" w:hAnsi="Times New Roman" w:cs="Times New Roman"/>
          <w:sz w:val="24"/>
          <w:szCs w:val="24"/>
        </w:rPr>
        <w:t>issements</w:t>
      </w:r>
      <w:r w:rsidR="006F5CD1" w:rsidRPr="0034540D">
        <w:rPr>
          <w:rFonts w:ascii="Times New Roman" w:hAnsi="Times New Roman" w:cs="Times New Roman"/>
          <w:sz w:val="24"/>
          <w:szCs w:val="24"/>
        </w:rPr>
        <w:t xml:space="preserve"> </w:t>
      </w:r>
      <w:r w:rsidR="00A01EA3" w:rsidRPr="0034540D">
        <w:rPr>
          <w:rFonts w:ascii="Times New Roman" w:hAnsi="Times New Roman" w:cs="Times New Roman"/>
          <w:sz w:val="24"/>
          <w:szCs w:val="24"/>
        </w:rPr>
        <w:t xml:space="preserve"> de crédit </w:t>
      </w:r>
      <w:r w:rsidR="00D02C83" w:rsidRPr="0034540D">
        <w:rPr>
          <w:rFonts w:ascii="Times New Roman" w:hAnsi="Times New Roman" w:cs="Times New Roman"/>
          <w:sz w:val="24"/>
          <w:szCs w:val="24"/>
        </w:rPr>
        <w:t>sont communiqués</w:t>
      </w:r>
      <w:r w:rsidR="006F5CD1" w:rsidRPr="0034540D">
        <w:rPr>
          <w:rFonts w:ascii="Times New Roman" w:hAnsi="Times New Roman" w:cs="Times New Roman"/>
          <w:sz w:val="24"/>
          <w:szCs w:val="24"/>
        </w:rPr>
        <w:t>,</w:t>
      </w:r>
      <w:r w:rsidRPr="0034540D">
        <w:rPr>
          <w:rFonts w:ascii="Times New Roman" w:hAnsi="Times New Roman" w:cs="Times New Roman"/>
          <w:sz w:val="24"/>
          <w:szCs w:val="24"/>
        </w:rPr>
        <w:t xml:space="preserve"> </w:t>
      </w:r>
      <w:r w:rsidR="006F5CD1" w:rsidRPr="0034540D">
        <w:rPr>
          <w:rFonts w:ascii="Times New Roman" w:hAnsi="Times New Roman" w:cs="Times New Roman"/>
          <w:sz w:val="24"/>
          <w:szCs w:val="24"/>
        </w:rPr>
        <w:t>par le Ministre chargé des Financ</w:t>
      </w:r>
      <w:r w:rsidR="001E4D46" w:rsidRPr="0034540D">
        <w:rPr>
          <w:rFonts w:ascii="Times New Roman" w:hAnsi="Times New Roman" w:cs="Times New Roman"/>
          <w:sz w:val="24"/>
          <w:szCs w:val="24"/>
        </w:rPr>
        <w:t>es</w:t>
      </w:r>
      <w:r w:rsidR="006F5CD1" w:rsidRPr="0034540D">
        <w:rPr>
          <w:rFonts w:ascii="Times New Roman" w:hAnsi="Times New Roman" w:cs="Times New Roman"/>
          <w:sz w:val="24"/>
          <w:szCs w:val="24"/>
        </w:rPr>
        <w:t xml:space="preserve">, à la Banque Centrale pour examen et sanction, à prendre par elle ou par la Commission bancaire de l’UMOA, conformément aux dispositions de la loi portant réglementation bancaire ». Il ressort  de la lecture de cet </w:t>
      </w:r>
      <w:r w:rsidR="001C7FDF" w:rsidRPr="0034540D">
        <w:rPr>
          <w:rFonts w:ascii="Times New Roman" w:hAnsi="Times New Roman" w:cs="Times New Roman"/>
          <w:sz w:val="24"/>
          <w:szCs w:val="24"/>
        </w:rPr>
        <w:t xml:space="preserve">article </w:t>
      </w:r>
      <w:r w:rsidR="00793CD4" w:rsidRPr="0034540D">
        <w:rPr>
          <w:rFonts w:ascii="Times New Roman" w:hAnsi="Times New Roman" w:cs="Times New Roman"/>
          <w:sz w:val="24"/>
          <w:szCs w:val="24"/>
        </w:rPr>
        <w:t xml:space="preserve"> que la Banque Centrale joue un rôle important dans la suite à donner par le Ministre chargé des Finances à ces infractions. En effet, même si </w:t>
      </w:r>
      <w:r w:rsidR="001C7FDF" w:rsidRPr="0034540D">
        <w:rPr>
          <w:rFonts w:ascii="Times New Roman" w:hAnsi="Times New Roman" w:cs="Times New Roman"/>
          <w:sz w:val="24"/>
          <w:szCs w:val="24"/>
        </w:rPr>
        <w:t>le droit de poursuivr</w:t>
      </w:r>
      <w:r w:rsidR="006F5CD1" w:rsidRPr="0034540D">
        <w:rPr>
          <w:rFonts w:ascii="Times New Roman" w:hAnsi="Times New Roman" w:cs="Times New Roman"/>
          <w:sz w:val="24"/>
          <w:szCs w:val="24"/>
        </w:rPr>
        <w:t xml:space="preserve">e </w:t>
      </w:r>
      <w:r w:rsidR="00793CD4" w:rsidRPr="0034540D">
        <w:rPr>
          <w:rFonts w:ascii="Times New Roman" w:hAnsi="Times New Roman" w:cs="Times New Roman"/>
          <w:sz w:val="24"/>
          <w:szCs w:val="24"/>
        </w:rPr>
        <w:t xml:space="preserve"> appartient,  comme le prévoit l’article 427 du code des douanes à celui-ci ou son représentant, pour les </w:t>
      </w:r>
      <w:r w:rsidR="006F5CD1" w:rsidRPr="0034540D">
        <w:rPr>
          <w:rFonts w:ascii="Times New Roman" w:hAnsi="Times New Roman" w:cs="Times New Roman"/>
          <w:sz w:val="24"/>
          <w:szCs w:val="24"/>
        </w:rPr>
        <w:t>infraction</w:t>
      </w:r>
      <w:r w:rsidR="00793CD4" w:rsidRPr="0034540D">
        <w:rPr>
          <w:rFonts w:ascii="Times New Roman" w:hAnsi="Times New Roman" w:cs="Times New Roman"/>
          <w:sz w:val="24"/>
          <w:szCs w:val="24"/>
        </w:rPr>
        <w:t xml:space="preserve">s </w:t>
      </w:r>
      <w:r w:rsidR="006F5CD1" w:rsidRPr="0034540D">
        <w:rPr>
          <w:rFonts w:ascii="Times New Roman" w:hAnsi="Times New Roman" w:cs="Times New Roman"/>
          <w:sz w:val="24"/>
          <w:szCs w:val="24"/>
        </w:rPr>
        <w:t xml:space="preserve">commises par les établissements  de crédit </w:t>
      </w:r>
      <w:r w:rsidR="001C7FDF" w:rsidRPr="0034540D">
        <w:rPr>
          <w:rFonts w:ascii="Times New Roman" w:hAnsi="Times New Roman" w:cs="Times New Roman"/>
          <w:sz w:val="24"/>
          <w:szCs w:val="24"/>
        </w:rPr>
        <w:t>et constatées par un procès verbal de constat par les agents habilités</w:t>
      </w:r>
      <w:r w:rsidR="00793CD4" w:rsidRPr="0034540D">
        <w:rPr>
          <w:rFonts w:ascii="Times New Roman" w:hAnsi="Times New Roman" w:cs="Times New Roman"/>
          <w:sz w:val="24"/>
          <w:szCs w:val="24"/>
        </w:rPr>
        <w:t>, le Ministre chargé des Finances ne peut déposer plainte et poursuivre que s’il est saisi en ce sens par la BCEAO.</w:t>
      </w:r>
    </w:p>
    <w:p w:rsidR="006F5CD1" w:rsidRPr="0034540D" w:rsidRDefault="001C7FDF"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 Cependant il ya lieu de noter que les poursuites des infractions commises par ces dits établissements en matière des changes </w:t>
      </w:r>
      <w:r w:rsidR="00D02C83" w:rsidRPr="0034540D">
        <w:rPr>
          <w:rFonts w:ascii="Times New Roman" w:hAnsi="Times New Roman" w:cs="Times New Roman"/>
          <w:sz w:val="24"/>
          <w:szCs w:val="24"/>
        </w:rPr>
        <w:t xml:space="preserve"> peuvent</w:t>
      </w:r>
      <w:r w:rsidRPr="0034540D">
        <w:rPr>
          <w:rFonts w:ascii="Times New Roman" w:hAnsi="Times New Roman" w:cs="Times New Roman"/>
          <w:sz w:val="24"/>
          <w:szCs w:val="24"/>
        </w:rPr>
        <w:t xml:space="preserve"> être  faites par d’autres si l’on se réfère  à l’article </w:t>
      </w:r>
      <w:r w:rsidRPr="0034540D">
        <w:rPr>
          <w:rFonts w:ascii="Times New Roman" w:hAnsi="Times New Roman" w:cs="Times New Roman"/>
          <w:bCs/>
          <w:sz w:val="24"/>
          <w:szCs w:val="24"/>
        </w:rPr>
        <w:t xml:space="preserve">107 de la loi bancaire </w:t>
      </w:r>
      <w:r w:rsidR="00D02C83" w:rsidRPr="0034540D">
        <w:rPr>
          <w:rFonts w:ascii="Times New Roman" w:hAnsi="Times New Roman" w:cs="Times New Roman"/>
          <w:bCs/>
          <w:sz w:val="24"/>
          <w:szCs w:val="24"/>
        </w:rPr>
        <w:t xml:space="preserve">n°2008-26 du 28 juillet 2008 qui dispose que </w:t>
      </w:r>
      <w:r w:rsidRPr="0034540D">
        <w:rPr>
          <w:rFonts w:ascii="Times New Roman" w:hAnsi="Times New Roman" w:cs="Times New Roman"/>
          <w:bCs/>
          <w:sz w:val="24"/>
          <w:szCs w:val="24"/>
        </w:rPr>
        <w:t xml:space="preserve"> </w:t>
      </w:r>
      <w:r w:rsidRPr="0034540D">
        <w:rPr>
          <w:rFonts w:ascii="Times New Roman" w:hAnsi="Times New Roman" w:cs="Times New Roman"/>
          <w:b/>
          <w:bCs/>
          <w:sz w:val="24"/>
          <w:szCs w:val="24"/>
        </w:rPr>
        <w:t>« </w:t>
      </w:r>
      <w:r w:rsidRPr="0034540D">
        <w:rPr>
          <w:rFonts w:ascii="Times New Roman" w:hAnsi="Times New Roman" w:cs="Times New Roman"/>
          <w:bCs/>
          <w:sz w:val="24"/>
          <w:szCs w:val="24"/>
        </w:rPr>
        <w:t xml:space="preserve">Le Procureur de la République avise la Commission bancaire et la Banque Centrale </w:t>
      </w:r>
      <w:r w:rsidRPr="0034540D">
        <w:rPr>
          <w:rFonts w:ascii="Times New Roman" w:hAnsi="Times New Roman" w:cs="Times New Roman"/>
          <w:bCs/>
          <w:sz w:val="24"/>
          <w:szCs w:val="24"/>
        </w:rPr>
        <w:lastRenderedPageBreak/>
        <w:t xml:space="preserve">des poursuites engagées contre des personnes placées sous leur contrôle, en application des dispositions législatives et règlementaires en vigueur. Il en fait de même pour toutes poursuites engagées contre toute personne visée à l’article 30 pour l’une des infractions mentionnées à l’article 26 ». Parmi les infractions mentionnées à l’article 26 </w:t>
      </w:r>
      <w:r w:rsidR="007F249C" w:rsidRPr="0034540D">
        <w:rPr>
          <w:rFonts w:ascii="Times New Roman" w:hAnsi="Times New Roman" w:cs="Times New Roman"/>
          <w:bCs/>
          <w:sz w:val="24"/>
          <w:szCs w:val="24"/>
        </w:rPr>
        <w:t xml:space="preserve">de la loi bancaire figure celles </w:t>
      </w:r>
      <w:r w:rsidR="007F249C" w:rsidRPr="0034540D">
        <w:rPr>
          <w:rFonts w:ascii="Times New Roman" w:hAnsi="Times New Roman" w:cs="Times New Roman"/>
          <w:sz w:val="24"/>
          <w:szCs w:val="24"/>
        </w:rPr>
        <w:t xml:space="preserve">à la réglementation des relations financières extérieures des Etats de l’UEMOA. </w:t>
      </w:r>
      <w:r w:rsidR="00D02C83" w:rsidRPr="0034540D">
        <w:rPr>
          <w:rFonts w:ascii="Times New Roman" w:hAnsi="Times New Roman" w:cs="Times New Roman"/>
          <w:sz w:val="24"/>
          <w:szCs w:val="24"/>
        </w:rPr>
        <w:t xml:space="preserve">C’est dire en résumé que la  poursuite en matière d’infractions à la législation des changes commises par les établissements de crédit peut être intentée par la BCEAO en concurrence avec d’autres personnes.  </w:t>
      </w:r>
    </w:p>
    <w:p w:rsidR="008B7C33" w:rsidRPr="0034540D" w:rsidRDefault="00D55C46" w:rsidP="001E5084">
      <w:pPr>
        <w:pStyle w:val="Paragraphedeliste"/>
        <w:tabs>
          <w:tab w:val="left" w:pos="142"/>
          <w:tab w:val="left" w:pos="567"/>
          <w:tab w:val="left" w:pos="709"/>
        </w:tabs>
        <w:spacing w:line="360" w:lineRule="auto"/>
        <w:ind w:left="1440"/>
        <w:jc w:val="both"/>
        <w:rPr>
          <w:rFonts w:ascii="Times New Roman" w:hAnsi="Times New Roman" w:cs="Times New Roman"/>
          <w:b/>
          <w:sz w:val="24"/>
          <w:szCs w:val="24"/>
        </w:rPr>
      </w:pPr>
      <w:r w:rsidRPr="0034540D">
        <w:rPr>
          <w:rFonts w:ascii="Times New Roman" w:hAnsi="Times New Roman" w:cs="Times New Roman"/>
          <w:b/>
          <w:sz w:val="24"/>
          <w:szCs w:val="24"/>
        </w:rPr>
        <w:t>2-2) la poursuite en dehors du territoire national des infractions à la législation des changes</w:t>
      </w:r>
    </w:p>
    <w:p w:rsidR="008B7C33" w:rsidRPr="0034540D" w:rsidRDefault="008B7C33"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Pour  veiller à l’application des restrictions apportées à la liberté  de leurs relations financières   extérieures, tout Etat dispose de moyen et de droit reconnu par tous les autres Etats. </w:t>
      </w:r>
    </w:p>
    <w:p w:rsidR="008B7C33" w:rsidRPr="0034540D" w:rsidRDefault="008B7C33"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C’est ainsi qu’en matière d’infraction à la législation des changes  commise au Sénégal, il est permis aux Etats victimes de poursuivre  en dehors  des juridictions sénégalaises le règlement du  différend. Dans ce cas, l’Etat poursuivant peut soit transiger ou choisir la voie contentieuse. </w:t>
      </w:r>
    </w:p>
    <w:p w:rsidR="008B7C33" w:rsidRPr="0034540D" w:rsidRDefault="008B7C33"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Si  l’Etat poursuivant  décide de transiger avec les auteurs ou complices, il doit solliciter  l’accord   des autorités sénégalaises.  Cet  agrément est donné par le Ministre chargé des Finances. Il doit préciser que le corps du délit ou à défaut, sa valeur devra être acquis à l’état du Sénégal.  </w:t>
      </w:r>
    </w:p>
    <w:p w:rsidR="008B7C33" w:rsidRPr="0034540D" w:rsidRDefault="008B7C33"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La transaction,  ainsi conclue et exécutée conformément aux conditions ci-dessus spécifiées, a comme conséquence l’extinction de toute action  tant civile que pénale fondée sur les mêmes faits devant les  juridictions sénégalaises. </w:t>
      </w:r>
    </w:p>
    <w:p w:rsidR="008B7C33" w:rsidRPr="0034540D" w:rsidRDefault="008B7C33"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Cependant , en cas de poursuite aboutissant à une  condamnation définitive</w:t>
      </w:r>
      <w:r w:rsidRPr="0034540D">
        <w:rPr>
          <w:rStyle w:val="Appelnotedebasdep"/>
          <w:rFonts w:ascii="Times New Roman" w:hAnsi="Times New Roman" w:cs="Times New Roman"/>
          <w:sz w:val="24"/>
          <w:szCs w:val="24"/>
        </w:rPr>
        <w:footnoteReference w:id="38"/>
      </w:r>
      <w:r w:rsidRPr="0034540D">
        <w:rPr>
          <w:rFonts w:ascii="Times New Roman" w:hAnsi="Times New Roman" w:cs="Times New Roman"/>
          <w:sz w:val="24"/>
          <w:szCs w:val="24"/>
        </w:rPr>
        <w:t xml:space="preserve">  prononcée  par des juridictions étrangères pour des infractions à la législation des changes commises au Sénégal, il convient de noter cette condamnation emporte de plein droit interdiction pour une durée de cinq (05) d’exercer les fonctions d’agent de change, d’intermédiaire en bourse, d’agent d’assurance, d’être électeurs, éligibles ou désignés aux juridictions professionnelles, aux chambres de commerce et aux </w:t>
      </w:r>
      <w:r w:rsidRPr="0034540D">
        <w:rPr>
          <w:rFonts w:ascii="Times New Roman" w:hAnsi="Times New Roman" w:cs="Times New Roman"/>
          <w:sz w:val="24"/>
          <w:szCs w:val="24"/>
        </w:rPr>
        <w:lastRenderedPageBreak/>
        <w:t>chambres de métiers.les fonctions d’agent de change ; l’activité d’intermédiaire en bourse.</w:t>
      </w:r>
    </w:p>
    <w:p w:rsidR="008B7C33" w:rsidRPr="0034540D" w:rsidRDefault="008B7C33"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Elle donne  en outre lieu en  interdiction  de plein droit de diriger, d’administrer ou de gérer un établissement de crédit ou une de ses agences , d’exercer l’une des activités des établissements de crédit , de proposer au public la création d’un établissement de crédit ,de prendre des participations dans le capital d’un établissement de crédit.</w:t>
      </w:r>
    </w:p>
    <w:p w:rsidR="008B7C33" w:rsidRPr="0034540D" w:rsidRDefault="008B7C33"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Toutefois, lorsque cette condamnation </w:t>
      </w:r>
      <w:r w:rsidRPr="0034540D">
        <w:rPr>
          <w:rStyle w:val="Appelnotedebasdep"/>
          <w:rFonts w:ascii="Times New Roman" w:hAnsi="Times New Roman" w:cs="Times New Roman"/>
          <w:sz w:val="24"/>
          <w:szCs w:val="24"/>
        </w:rPr>
        <w:footnoteReference w:id="39"/>
      </w:r>
      <w:r w:rsidRPr="0034540D">
        <w:rPr>
          <w:rFonts w:ascii="Times New Roman" w:hAnsi="Times New Roman" w:cs="Times New Roman"/>
          <w:sz w:val="24"/>
          <w:szCs w:val="24"/>
        </w:rPr>
        <w:t>a permis aux autorités sénégalaises d’obtenir la remise aux autorités nationales du corps du délit ou à défaut,  sa valeur, aucune action fondée sur les mêmes faits ne peut être intentée devant les juridictions nationales.</w:t>
      </w:r>
    </w:p>
    <w:p w:rsidR="008B7C33" w:rsidRPr="0034540D" w:rsidRDefault="008B7C33"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b/>
          <w:sz w:val="24"/>
          <w:szCs w:val="24"/>
        </w:rPr>
      </w:pPr>
    </w:p>
    <w:p w:rsidR="00DA2AE2" w:rsidRPr="0034540D" w:rsidRDefault="008B7C33"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 xml:space="preserve">Section III : le </w:t>
      </w:r>
      <w:r w:rsidR="00DA2AE2" w:rsidRPr="0034540D">
        <w:rPr>
          <w:rFonts w:ascii="Times New Roman" w:hAnsi="Times New Roman" w:cs="Times New Roman"/>
          <w:b/>
          <w:sz w:val="24"/>
          <w:szCs w:val="24"/>
        </w:rPr>
        <w:t xml:space="preserve">Jugement des infractions </w:t>
      </w:r>
      <w:r w:rsidR="00D02C83" w:rsidRPr="0034540D">
        <w:rPr>
          <w:rFonts w:ascii="Times New Roman" w:hAnsi="Times New Roman" w:cs="Times New Roman"/>
          <w:b/>
          <w:sz w:val="24"/>
          <w:szCs w:val="24"/>
        </w:rPr>
        <w:t xml:space="preserve">à la législation  </w:t>
      </w:r>
      <w:r w:rsidR="00DA2AE2" w:rsidRPr="0034540D">
        <w:rPr>
          <w:rFonts w:ascii="Times New Roman" w:hAnsi="Times New Roman" w:cs="Times New Roman"/>
          <w:b/>
          <w:sz w:val="24"/>
          <w:szCs w:val="24"/>
        </w:rPr>
        <w:t>de</w:t>
      </w:r>
      <w:r w:rsidR="00D02C83" w:rsidRPr="0034540D">
        <w:rPr>
          <w:rFonts w:ascii="Times New Roman" w:hAnsi="Times New Roman" w:cs="Times New Roman"/>
          <w:b/>
          <w:sz w:val="24"/>
          <w:szCs w:val="24"/>
        </w:rPr>
        <w:t>s</w:t>
      </w:r>
      <w:r w:rsidR="00DA2AE2" w:rsidRPr="0034540D">
        <w:rPr>
          <w:rFonts w:ascii="Times New Roman" w:hAnsi="Times New Roman" w:cs="Times New Roman"/>
          <w:b/>
          <w:sz w:val="24"/>
          <w:szCs w:val="24"/>
        </w:rPr>
        <w:t xml:space="preserve"> changes </w:t>
      </w:r>
    </w:p>
    <w:p w:rsidR="00DA2AE2" w:rsidRPr="0034540D" w:rsidRDefault="00DA2AE2" w:rsidP="001E5084">
      <w:pPr>
        <w:pStyle w:val="Paragraphedeliste"/>
        <w:numPr>
          <w:ilvl w:val="0"/>
          <w:numId w:val="35"/>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Le jugement des personnes physiques et morales  autres  que les établissements  de crédit : </w:t>
      </w:r>
    </w:p>
    <w:p w:rsidR="00DA2AE2" w:rsidRPr="0034540D" w:rsidRDefault="00DA2AE2" w:rsidP="001E5084">
      <w:pPr>
        <w:pStyle w:val="Paragraphedeliste"/>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Le  règlement des infractions </w:t>
      </w:r>
      <w:r w:rsidR="00387413" w:rsidRPr="0034540D">
        <w:rPr>
          <w:rFonts w:ascii="Times New Roman" w:hAnsi="Times New Roman" w:cs="Times New Roman"/>
          <w:sz w:val="24"/>
          <w:szCs w:val="24"/>
        </w:rPr>
        <w:t xml:space="preserve"> à la législation </w:t>
      </w:r>
      <w:r w:rsidRPr="0034540D">
        <w:rPr>
          <w:rFonts w:ascii="Times New Roman" w:hAnsi="Times New Roman" w:cs="Times New Roman"/>
          <w:sz w:val="24"/>
          <w:szCs w:val="24"/>
        </w:rPr>
        <w:t>de</w:t>
      </w:r>
      <w:r w:rsidR="00387413" w:rsidRPr="0034540D">
        <w:rPr>
          <w:rFonts w:ascii="Times New Roman" w:hAnsi="Times New Roman" w:cs="Times New Roman"/>
          <w:sz w:val="24"/>
          <w:szCs w:val="24"/>
        </w:rPr>
        <w:t>s</w:t>
      </w:r>
      <w:r w:rsidRPr="0034540D">
        <w:rPr>
          <w:rFonts w:ascii="Times New Roman" w:hAnsi="Times New Roman" w:cs="Times New Roman"/>
          <w:sz w:val="24"/>
          <w:szCs w:val="24"/>
        </w:rPr>
        <w:t xml:space="preserve"> change</w:t>
      </w:r>
      <w:r w:rsidR="00387413" w:rsidRPr="0034540D">
        <w:rPr>
          <w:rFonts w:ascii="Times New Roman" w:hAnsi="Times New Roman" w:cs="Times New Roman"/>
          <w:sz w:val="24"/>
          <w:szCs w:val="24"/>
        </w:rPr>
        <w:t>s</w:t>
      </w:r>
      <w:r w:rsidRPr="0034540D">
        <w:rPr>
          <w:rFonts w:ascii="Times New Roman" w:hAnsi="Times New Roman" w:cs="Times New Roman"/>
          <w:sz w:val="24"/>
          <w:szCs w:val="24"/>
        </w:rPr>
        <w:t xml:space="preserve"> commises par ces personnes sus indiquées peut, par le truchement des choses, atterrir devant la juridiction répressive de jugement. Le juge  pénal est alors appeler à trancher une question relevant d’une réglementation  caractérisée par une certaine  spécificité. Ceci  se comprend dés lors qu’il sera appelé à appliquer des dispositions  définies dans un cadre communautaire et transportées dans l’ordre interne. </w:t>
      </w:r>
    </w:p>
    <w:p w:rsidR="00DA2AE2" w:rsidRPr="0034540D" w:rsidRDefault="00DA2AE2" w:rsidP="001E5084">
      <w:pPr>
        <w:pStyle w:val="Paragraphedeliste"/>
        <w:numPr>
          <w:ilvl w:val="0"/>
          <w:numId w:val="24"/>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La juridiction répressive compétente</w:t>
      </w:r>
    </w:p>
    <w:p w:rsidR="00B6102D"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Etre compétent, c’est avoir le pouvoir de trancher un c</w:t>
      </w:r>
      <w:r w:rsidR="00785034" w:rsidRPr="0034540D">
        <w:rPr>
          <w:rFonts w:ascii="Times New Roman" w:hAnsi="Times New Roman" w:cs="Times New Roman"/>
          <w:sz w:val="24"/>
          <w:szCs w:val="24"/>
        </w:rPr>
        <w:t xml:space="preserve">ontentieux.  En matière </w:t>
      </w:r>
      <w:r w:rsidR="00B6102D" w:rsidRPr="0034540D">
        <w:rPr>
          <w:rFonts w:ascii="Times New Roman" w:hAnsi="Times New Roman" w:cs="Times New Roman"/>
          <w:sz w:val="24"/>
          <w:szCs w:val="24"/>
        </w:rPr>
        <w:t>de</w:t>
      </w:r>
      <w:r w:rsidR="00785034" w:rsidRPr="0034540D">
        <w:rPr>
          <w:rFonts w:ascii="Times New Roman" w:hAnsi="Times New Roman" w:cs="Times New Roman"/>
          <w:sz w:val="24"/>
          <w:szCs w:val="24"/>
        </w:rPr>
        <w:t xml:space="preserve"> réglementation des changes, i</w:t>
      </w:r>
      <w:r w:rsidRPr="0034540D">
        <w:rPr>
          <w:rFonts w:ascii="Times New Roman" w:hAnsi="Times New Roman" w:cs="Times New Roman"/>
          <w:sz w:val="24"/>
          <w:szCs w:val="24"/>
        </w:rPr>
        <w:t>l ressort  de la lecture de l’article 35 de la loi 2014-12 que les tribunaux correctionnels connaissent de toutes les poursuites pénales  pour infractio</w:t>
      </w:r>
      <w:r w:rsidR="008B7C33" w:rsidRPr="0034540D">
        <w:rPr>
          <w:rFonts w:ascii="Times New Roman" w:hAnsi="Times New Roman" w:cs="Times New Roman"/>
          <w:sz w:val="24"/>
          <w:szCs w:val="24"/>
        </w:rPr>
        <w:t>n à la législation  des changes</w:t>
      </w:r>
      <w:r w:rsidR="00B6102D" w:rsidRPr="0034540D">
        <w:rPr>
          <w:rFonts w:ascii="Times New Roman" w:hAnsi="Times New Roman" w:cs="Times New Roman"/>
          <w:sz w:val="24"/>
          <w:szCs w:val="24"/>
        </w:rPr>
        <w:t xml:space="preserve">. Ainsi, pour déterminer lequel entre </w:t>
      </w:r>
      <w:r w:rsidR="00513463" w:rsidRPr="0034540D">
        <w:rPr>
          <w:rFonts w:ascii="Times New Roman" w:hAnsi="Times New Roman" w:cs="Times New Roman"/>
          <w:sz w:val="24"/>
          <w:szCs w:val="24"/>
        </w:rPr>
        <w:t xml:space="preserve"> des </w:t>
      </w:r>
      <w:r w:rsidR="00B6102D" w:rsidRPr="0034540D">
        <w:rPr>
          <w:rFonts w:ascii="Times New Roman" w:hAnsi="Times New Roman" w:cs="Times New Roman"/>
          <w:sz w:val="24"/>
          <w:szCs w:val="24"/>
        </w:rPr>
        <w:t>tribuna</w:t>
      </w:r>
      <w:r w:rsidR="00513463" w:rsidRPr="0034540D">
        <w:rPr>
          <w:rFonts w:ascii="Times New Roman" w:hAnsi="Times New Roman" w:cs="Times New Roman"/>
          <w:sz w:val="24"/>
          <w:szCs w:val="24"/>
        </w:rPr>
        <w:t>ux correctionnels ( tribunal</w:t>
      </w:r>
      <w:r w:rsidR="00B6102D" w:rsidRPr="0034540D">
        <w:rPr>
          <w:rFonts w:ascii="Times New Roman" w:hAnsi="Times New Roman" w:cs="Times New Roman"/>
          <w:sz w:val="24"/>
          <w:szCs w:val="24"/>
        </w:rPr>
        <w:t xml:space="preserve"> de grande instance ou le tribunal d’instance</w:t>
      </w:r>
      <w:r w:rsidR="00513463" w:rsidRPr="0034540D">
        <w:rPr>
          <w:rFonts w:ascii="Times New Roman" w:hAnsi="Times New Roman" w:cs="Times New Roman"/>
          <w:sz w:val="24"/>
          <w:szCs w:val="24"/>
        </w:rPr>
        <w:t>)</w:t>
      </w:r>
      <w:r w:rsidR="00B6102D" w:rsidRPr="0034540D">
        <w:rPr>
          <w:rFonts w:ascii="Times New Roman" w:hAnsi="Times New Roman" w:cs="Times New Roman"/>
          <w:sz w:val="24"/>
          <w:szCs w:val="24"/>
        </w:rPr>
        <w:t xml:space="preserve"> est  compétent, l’on se réfère aux articles 4 et 18 du décret 2015-1145 du 03 aout 2015 fixant la composition et la compétence des cours d’Appel, des tribunaux de grande instance et des tribunaux d’instance</w:t>
      </w:r>
      <w:r w:rsidR="00D55C46" w:rsidRPr="0034540D">
        <w:rPr>
          <w:rFonts w:ascii="Times New Roman" w:hAnsi="Times New Roman" w:cs="Times New Roman"/>
          <w:sz w:val="24"/>
          <w:szCs w:val="24"/>
        </w:rPr>
        <w:t>. L’article 4 dudit décret</w:t>
      </w:r>
      <w:r w:rsidR="00B6102D" w:rsidRPr="0034540D">
        <w:rPr>
          <w:rFonts w:ascii="Times New Roman" w:hAnsi="Times New Roman" w:cs="Times New Roman"/>
          <w:sz w:val="24"/>
          <w:szCs w:val="24"/>
        </w:rPr>
        <w:t xml:space="preserve"> dispose que «  les tribunaux d’instance  connaissent de tous les faits qualifiés de contravention…..ils </w:t>
      </w:r>
      <w:r w:rsidR="00B6102D" w:rsidRPr="0034540D">
        <w:rPr>
          <w:rFonts w:ascii="Times New Roman" w:hAnsi="Times New Roman" w:cs="Times New Roman"/>
          <w:sz w:val="24"/>
          <w:szCs w:val="24"/>
        </w:rPr>
        <w:lastRenderedPageBreak/>
        <w:t>connaissent également des délits pour lesquels la loi leur a</w:t>
      </w:r>
      <w:r w:rsidR="00B6102D" w:rsidRPr="0034540D">
        <w:rPr>
          <w:rFonts w:ascii="Times New Roman" w:hAnsi="Times New Roman" w:cs="Times New Roman"/>
          <w:sz w:val="24"/>
          <w:szCs w:val="24"/>
        </w:rPr>
        <w:tab/>
        <w:t xml:space="preserve"> donné compétence ». Que l’article 18 du même décret</w:t>
      </w:r>
      <w:r w:rsidR="00D55C46" w:rsidRPr="0034540D">
        <w:rPr>
          <w:rFonts w:ascii="Times New Roman" w:hAnsi="Times New Roman" w:cs="Times New Roman"/>
          <w:sz w:val="24"/>
          <w:szCs w:val="24"/>
        </w:rPr>
        <w:t xml:space="preserve"> prévoit </w:t>
      </w:r>
      <w:r w:rsidR="00B6102D" w:rsidRPr="0034540D">
        <w:rPr>
          <w:rFonts w:ascii="Times New Roman" w:hAnsi="Times New Roman" w:cs="Times New Roman"/>
          <w:sz w:val="24"/>
          <w:szCs w:val="24"/>
        </w:rPr>
        <w:t>que « les tribunaux de grande instance connaissent en premier ressort de tous les délits autres que ceux qui sont de la compétence des tribunaux d’instance ». Il   résulte de la lecture combinée de ces deux articles que le tribunal de grande instance est juge de droit commun en matière  de délit. Qu’en conséquence, il est  compétent  pour  juger les infractions à la réglementation des changes commises par</w:t>
      </w:r>
      <w:r w:rsidR="00D55C46" w:rsidRPr="0034540D">
        <w:rPr>
          <w:rFonts w:ascii="Times New Roman" w:hAnsi="Times New Roman" w:cs="Times New Roman"/>
          <w:sz w:val="24"/>
          <w:szCs w:val="24"/>
        </w:rPr>
        <w:t xml:space="preserve"> les personnes sus indiquées.</w:t>
      </w:r>
      <w:r w:rsidR="00B6102D" w:rsidRPr="0034540D">
        <w:rPr>
          <w:rFonts w:ascii="Times New Roman" w:hAnsi="Times New Roman" w:cs="Times New Roman"/>
          <w:sz w:val="24"/>
          <w:szCs w:val="24"/>
        </w:rPr>
        <w:t xml:space="preserve"> </w:t>
      </w:r>
    </w:p>
    <w:p w:rsidR="00DA2AE2" w:rsidRPr="0034540D" w:rsidRDefault="00785034"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S’agissant de </w:t>
      </w:r>
      <w:r w:rsidR="00DA2AE2" w:rsidRPr="0034540D">
        <w:rPr>
          <w:rFonts w:ascii="Times New Roman" w:hAnsi="Times New Roman" w:cs="Times New Roman"/>
          <w:sz w:val="24"/>
          <w:szCs w:val="24"/>
        </w:rPr>
        <w:t>la</w:t>
      </w:r>
      <w:r w:rsidRPr="0034540D">
        <w:rPr>
          <w:rFonts w:ascii="Times New Roman" w:hAnsi="Times New Roman" w:cs="Times New Roman"/>
          <w:sz w:val="24"/>
          <w:szCs w:val="24"/>
        </w:rPr>
        <w:t xml:space="preserve"> compétence territoriale, il faut noter que la </w:t>
      </w:r>
      <w:r w:rsidR="00DA2AE2" w:rsidRPr="0034540D">
        <w:rPr>
          <w:rFonts w:ascii="Times New Roman" w:hAnsi="Times New Roman" w:cs="Times New Roman"/>
          <w:sz w:val="24"/>
          <w:szCs w:val="24"/>
        </w:rPr>
        <w:t xml:space="preserve"> juridiction correctionnelle</w:t>
      </w:r>
      <w:r w:rsidR="00D55C46" w:rsidRPr="0034540D">
        <w:rPr>
          <w:rFonts w:ascii="Times New Roman" w:hAnsi="Times New Roman" w:cs="Times New Roman"/>
          <w:sz w:val="24"/>
          <w:szCs w:val="24"/>
        </w:rPr>
        <w:t xml:space="preserve"> </w:t>
      </w:r>
      <w:r w:rsidR="00DA2AE2" w:rsidRPr="0034540D">
        <w:rPr>
          <w:rFonts w:ascii="Times New Roman" w:hAnsi="Times New Roman" w:cs="Times New Roman"/>
          <w:sz w:val="24"/>
          <w:szCs w:val="24"/>
        </w:rPr>
        <w:t xml:space="preserve">  territorialement compétente  est celle du lieu de constatation de l’infraction lorsqu’un procès verbal de constat a été dressé.</w:t>
      </w:r>
      <w:r w:rsidRPr="0034540D">
        <w:rPr>
          <w:rFonts w:ascii="Times New Roman" w:hAnsi="Times New Roman" w:cs="Times New Roman"/>
          <w:sz w:val="24"/>
          <w:szCs w:val="24"/>
        </w:rPr>
        <w:t xml:space="preserve"> Lorsqu’aucun procès verbal n’a été dressé, l’on se réfère aux règles de compétence territoriale de droit commun telle que définies par le</w:t>
      </w:r>
      <w:r w:rsidR="00960A15" w:rsidRPr="0034540D">
        <w:rPr>
          <w:rFonts w:ascii="Times New Roman" w:hAnsi="Times New Roman" w:cs="Times New Roman"/>
          <w:sz w:val="24"/>
          <w:szCs w:val="24"/>
        </w:rPr>
        <w:t xml:space="preserve"> </w:t>
      </w:r>
      <w:r w:rsidRPr="0034540D">
        <w:rPr>
          <w:rFonts w:ascii="Times New Roman" w:hAnsi="Times New Roman" w:cs="Times New Roman"/>
          <w:sz w:val="24"/>
          <w:szCs w:val="24"/>
        </w:rPr>
        <w:t>code de procédure pénale</w:t>
      </w:r>
      <w:r w:rsidR="00960A15" w:rsidRPr="0034540D">
        <w:rPr>
          <w:rStyle w:val="Appelnotedebasdep"/>
          <w:rFonts w:ascii="Times New Roman" w:hAnsi="Times New Roman" w:cs="Times New Roman"/>
          <w:sz w:val="24"/>
          <w:szCs w:val="24"/>
        </w:rPr>
        <w:footnoteReference w:id="40"/>
      </w:r>
      <w:r w:rsidR="00960A15" w:rsidRPr="0034540D">
        <w:rPr>
          <w:rFonts w:ascii="Times New Roman" w:hAnsi="Times New Roman" w:cs="Times New Roman"/>
          <w:sz w:val="24"/>
          <w:szCs w:val="24"/>
        </w:rPr>
        <w:t>.</w:t>
      </w:r>
    </w:p>
    <w:p w:rsidR="00DA2AE2" w:rsidRPr="0034540D" w:rsidRDefault="00DA2AE2" w:rsidP="001E5084">
      <w:pPr>
        <w:pStyle w:val="Paragraphedeliste"/>
        <w:numPr>
          <w:ilvl w:val="0"/>
          <w:numId w:val="20"/>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La saisine de la juridiction répressive </w:t>
      </w:r>
    </w:p>
    <w:p w:rsidR="00DA2AE2" w:rsidRPr="0034540D" w:rsidRDefault="00C74A05" w:rsidP="001E5084">
      <w:pPr>
        <w:pStyle w:val="Paragraphedeliste"/>
        <w:tabs>
          <w:tab w:val="left" w:pos="142"/>
          <w:tab w:val="left" w:pos="567"/>
          <w:tab w:val="left" w:pos="709"/>
        </w:tabs>
        <w:spacing w:line="360" w:lineRule="auto"/>
        <w:ind w:left="0"/>
        <w:jc w:val="both"/>
        <w:rPr>
          <w:rFonts w:ascii="Times New Roman" w:hAnsi="Times New Roman" w:cs="Times New Roman"/>
          <w:sz w:val="24"/>
          <w:szCs w:val="24"/>
          <w:highlight w:val="yellow"/>
        </w:rPr>
      </w:pPr>
      <w:r w:rsidRPr="0034540D">
        <w:rPr>
          <w:rFonts w:ascii="Times New Roman" w:hAnsi="Times New Roman" w:cs="Times New Roman"/>
          <w:sz w:val="24"/>
          <w:szCs w:val="24"/>
        </w:rPr>
        <w:t>I</w:t>
      </w:r>
      <w:r w:rsidR="00DA2AE2" w:rsidRPr="0034540D">
        <w:rPr>
          <w:rFonts w:ascii="Times New Roman" w:hAnsi="Times New Roman" w:cs="Times New Roman"/>
          <w:sz w:val="24"/>
          <w:szCs w:val="24"/>
        </w:rPr>
        <w:t>l</w:t>
      </w:r>
      <w:r w:rsidRPr="0034540D">
        <w:rPr>
          <w:rFonts w:ascii="Times New Roman" w:hAnsi="Times New Roman" w:cs="Times New Roman"/>
          <w:sz w:val="24"/>
          <w:szCs w:val="24"/>
        </w:rPr>
        <w:t xml:space="preserve"> </w:t>
      </w:r>
      <w:r w:rsidR="00DA2AE2" w:rsidRPr="0034540D">
        <w:rPr>
          <w:rFonts w:ascii="Times New Roman" w:hAnsi="Times New Roman" w:cs="Times New Roman"/>
          <w:sz w:val="24"/>
          <w:szCs w:val="24"/>
        </w:rPr>
        <w:t xml:space="preserve"> faut noter  que les procès  verbaux de constat  dressés à l’occasion de leurs missions </w:t>
      </w:r>
      <w:r w:rsidR="00387413" w:rsidRPr="0034540D">
        <w:rPr>
          <w:rFonts w:ascii="Times New Roman" w:hAnsi="Times New Roman" w:cs="Times New Roman"/>
          <w:sz w:val="24"/>
          <w:szCs w:val="24"/>
        </w:rPr>
        <w:t xml:space="preserve">par les agents habilités </w:t>
      </w:r>
      <w:r w:rsidR="00DA2AE2" w:rsidRPr="0034540D">
        <w:rPr>
          <w:rFonts w:ascii="Times New Roman" w:hAnsi="Times New Roman" w:cs="Times New Roman"/>
          <w:sz w:val="24"/>
          <w:szCs w:val="24"/>
        </w:rPr>
        <w:t>sont transmis au Ministre chargé des finances ou son représentant pour suite à donner</w:t>
      </w:r>
      <w:r w:rsidR="00DC38A8" w:rsidRPr="0034540D">
        <w:rPr>
          <w:rFonts w:ascii="Times New Roman" w:hAnsi="Times New Roman" w:cs="Times New Roman"/>
          <w:sz w:val="24"/>
          <w:szCs w:val="24"/>
        </w:rPr>
        <w:t xml:space="preserve"> pour les infractions commises par les p</w:t>
      </w:r>
      <w:r w:rsidR="00295659" w:rsidRPr="0034540D">
        <w:rPr>
          <w:rFonts w:ascii="Times New Roman" w:hAnsi="Times New Roman" w:cs="Times New Roman"/>
          <w:sz w:val="24"/>
          <w:szCs w:val="24"/>
        </w:rPr>
        <w:t>ersonnes physiques et morales a</w:t>
      </w:r>
      <w:r w:rsidR="00DC38A8" w:rsidRPr="0034540D">
        <w:rPr>
          <w:rFonts w:ascii="Times New Roman" w:hAnsi="Times New Roman" w:cs="Times New Roman"/>
          <w:sz w:val="24"/>
          <w:szCs w:val="24"/>
        </w:rPr>
        <w:t>utres</w:t>
      </w:r>
      <w:r w:rsidR="00295659" w:rsidRPr="0034540D">
        <w:rPr>
          <w:rFonts w:ascii="Times New Roman" w:hAnsi="Times New Roman" w:cs="Times New Roman"/>
          <w:sz w:val="24"/>
          <w:szCs w:val="24"/>
        </w:rPr>
        <w:t xml:space="preserve"> </w:t>
      </w:r>
      <w:r w:rsidR="00DC38A8" w:rsidRPr="0034540D">
        <w:rPr>
          <w:rFonts w:ascii="Times New Roman" w:hAnsi="Times New Roman" w:cs="Times New Roman"/>
          <w:sz w:val="24"/>
          <w:szCs w:val="24"/>
        </w:rPr>
        <w:t>que les établissement</w:t>
      </w:r>
      <w:r w:rsidRPr="0034540D">
        <w:rPr>
          <w:rFonts w:ascii="Times New Roman" w:hAnsi="Times New Roman" w:cs="Times New Roman"/>
          <w:sz w:val="24"/>
          <w:szCs w:val="24"/>
        </w:rPr>
        <w:t>s</w:t>
      </w:r>
      <w:r w:rsidR="00DC38A8" w:rsidRPr="0034540D">
        <w:rPr>
          <w:rFonts w:ascii="Times New Roman" w:hAnsi="Times New Roman" w:cs="Times New Roman"/>
          <w:sz w:val="24"/>
          <w:szCs w:val="24"/>
        </w:rPr>
        <w:t xml:space="preserve"> de crédit</w:t>
      </w:r>
      <w:r w:rsidR="00D55C46" w:rsidRPr="0034540D">
        <w:rPr>
          <w:rFonts w:ascii="Times New Roman" w:hAnsi="Times New Roman" w:cs="Times New Roman"/>
          <w:sz w:val="24"/>
          <w:szCs w:val="24"/>
        </w:rPr>
        <w:t>.  C’est ainsi la saisine des autorités judiciaires est faite par le</w:t>
      </w:r>
      <w:r w:rsidR="008C3F19" w:rsidRPr="0034540D">
        <w:rPr>
          <w:rFonts w:ascii="Times New Roman" w:hAnsi="Times New Roman" w:cs="Times New Roman"/>
          <w:sz w:val="24"/>
          <w:szCs w:val="24"/>
        </w:rPr>
        <w:t xml:space="preserve"> Ministre chargé des Finances </w:t>
      </w:r>
      <w:r w:rsidR="00D822A9" w:rsidRPr="0034540D">
        <w:rPr>
          <w:rFonts w:ascii="Times New Roman" w:hAnsi="Times New Roman" w:cs="Times New Roman"/>
          <w:sz w:val="24"/>
          <w:szCs w:val="24"/>
          <w:highlight w:val="yellow"/>
        </w:rPr>
        <w:t>ou son représentant.</w:t>
      </w:r>
      <w:r w:rsidR="00D822A9" w:rsidRPr="0034540D">
        <w:rPr>
          <w:rFonts w:ascii="Times New Roman" w:hAnsi="Times New Roman" w:cs="Times New Roman"/>
          <w:sz w:val="24"/>
          <w:szCs w:val="24"/>
        </w:rPr>
        <w:t xml:space="preserve"> </w:t>
      </w:r>
      <w:r w:rsidR="00DA2AE2" w:rsidRPr="0034540D">
        <w:rPr>
          <w:rFonts w:ascii="Times New Roman" w:hAnsi="Times New Roman" w:cs="Times New Roman"/>
          <w:sz w:val="24"/>
          <w:szCs w:val="24"/>
        </w:rPr>
        <w:t>Celui-ci</w:t>
      </w:r>
      <w:r w:rsidR="00387413" w:rsidRPr="0034540D">
        <w:rPr>
          <w:rFonts w:ascii="Times New Roman" w:hAnsi="Times New Roman" w:cs="Times New Roman"/>
          <w:sz w:val="24"/>
          <w:szCs w:val="24"/>
        </w:rPr>
        <w:t xml:space="preserve"> </w:t>
      </w:r>
      <w:r w:rsidR="00960A15" w:rsidRPr="0034540D">
        <w:rPr>
          <w:rFonts w:ascii="Times New Roman" w:hAnsi="Times New Roman" w:cs="Times New Roman"/>
          <w:sz w:val="24"/>
          <w:szCs w:val="24"/>
        </w:rPr>
        <w:t xml:space="preserve"> transmet</w:t>
      </w:r>
      <w:r w:rsidR="00DA2AE2" w:rsidRPr="0034540D">
        <w:rPr>
          <w:rFonts w:ascii="Times New Roman" w:hAnsi="Times New Roman" w:cs="Times New Roman"/>
          <w:sz w:val="24"/>
          <w:szCs w:val="24"/>
        </w:rPr>
        <w:t xml:space="preserve"> le dossier au Procureur de la République compétent</w:t>
      </w:r>
      <w:r w:rsidR="008C3F19" w:rsidRPr="0034540D">
        <w:rPr>
          <w:rFonts w:ascii="Times New Roman" w:hAnsi="Times New Roman" w:cs="Times New Roman"/>
          <w:sz w:val="24"/>
          <w:szCs w:val="24"/>
        </w:rPr>
        <w:t xml:space="preserve"> </w:t>
      </w:r>
      <w:r w:rsidR="00D55C46" w:rsidRPr="0034540D">
        <w:rPr>
          <w:rFonts w:ascii="Times New Roman" w:hAnsi="Times New Roman" w:cs="Times New Roman"/>
          <w:sz w:val="24"/>
          <w:szCs w:val="24"/>
        </w:rPr>
        <w:t xml:space="preserve">pour enclencher l’action publique. </w:t>
      </w:r>
      <w:r w:rsidR="00387413" w:rsidRPr="0034540D">
        <w:rPr>
          <w:rFonts w:ascii="Times New Roman" w:hAnsi="Times New Roman" w:cs="Times New Roman"/>
          <w:sz w:val="24"/>
          <w:szCs w:val="24"/>
        </w:rPr>
        <w:t xml:space="preserve"> I</w:t>
      </w:r>
      <w:r w:rsidR="00DA2AE2" w:rsidRPr="0034540D">
        <w:rPr>
          <w:rFonts w:ascii="Times New Roman" w:hAnsi="Times New Roman" w:cs="Times New Roman"/>
          <w:sz w:val="24"/>
          <w:szCs w:val="24"/>
        </w:rPr>
        <w:t xml:space="preserve">l ya lieu de </w:t>
      </w:r>
      <w:r w:rsidR="00387413" w:rsidRPr="0034540D">
        <w:rPr>
          <w:rFonts w:ascii="Times New Roman" w:hAnsi="Times New Roman" w:cs="Times New Roman"/>
          <w:sz w:val="24"/>
          <w:szCs w:val="24"/>
        </w:rPr>
        <w:t>noter</w:t>
      </w:r>
      <w:r w:rsidR="00DA2AE2" w:rsidRPr="0034540D">
        <w:rPr>
          <w:rFonts w:ascii="Times New Roman" w:hAnsi="Times New Roman" w:cs="Times New Roman"/>
          <w:sz w:val="24"/>
          <w:szCs w:val="24"/>
        </w:rPr>
        <w:t xml:space="preserve"> que même si une transaction avait été   engagé,  à défaut d’exécution complète de celle-ci, le Procureur de la République se voit transmettre le dossier par les soins du Ministre chargé des finances à l’expiration du délai et après mise en demeure, et à défaut de moratoire</w:t>
      </w:r>
      <w:r w:rsidR="00387413" w:rsidRPr="0034540D">
        <w:rPr>
          <w:rFonts w:ascii="Times New Roman" w:hAnsi="Times New Roman" w:cs="Times New Roman"/>
          <w:sz w:val="24"/>
          <w:szCs w:val="24"/>
        </w:rPr>
        <w:t xml:space="preserve">. </w:t>
      </w:r>
    </w:p>
    <w:p w:rsidR="00DA2AE2" w:rsidRPr="0034540D" w:rsidRDefault="00DA2AE2" w:rsidP="001E5084">
      <w:pPr>
        <w:pStyle w:val="Paragraphedeliste"/>
        <w:numPr>
          <w:ilvl w:val="0"/>
          <w:numId w:val="18"/>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En ce qui concerne les preuves de l’infraction </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i/>
          <w:sz w:val="24"/>
          <w:szCs w:val="24"/>
        </w:rPr>
      </w:pPr>
      <w:r w:rsidRPr="0034540D">
        <w:rPr>
          <w:rFonts w:ascii="Times New Roman" w:hAnsi="Times New Roman" w:cs="Times New Roman"/>
          <w:sz w:val="24"/>
          <w:szCs w:val="24"/>
        </w:rPr>
        <w:t>Conformément à l’article 6 de la</w:t>
      </w:r>
      <w:r w:rsidR="006304FC" w:rsidRPr="0034540D">
        <w:rPr>
          <w:rFonts w:ascii="Times New Roman" w:hAnsi="Times New Roman" w:cs="Times New Roman"/>
          <w:sz w:val="24"/>
          <w:szCs w:val="24"/>
        </w:rPr>
        <w:t xml:space="preserve"> </w:t>
      </w:r>
      <w:r w:rsidR="00D822A9" w:rsidRPr="0034540D">
        <w:rPr>
          <w:rFonts w:ascii="Times New Roman" w:hAnsi="Times New Roman" w:cs="Times New Roman"/>
          <w:sz w:val="24"/>
          <w:szCs w:val="24"/>
        </w:rPr>
        <w:t xml:space="preserve">loi 2014-26 prévoit </w:t>
      </w:r>
      <w:r w:rsidRPr="0034540D">
        <w:rPr>
          <w:rFonts w:ascii="Times New Roman" w:hAnsi="Times New Roman" w:cs="Times New Roman"/>
          <w:sz w:val="24"/>
          <w:szCs w:val="24"/>
        </w:rPr>
        <w:t xml:space="preserve">que les infractions </w:t>
      </w:r>
      <w:r w:rsidR="00D822A9" w:rsidRPr="0034540D">
        <w:rPr>
          <w:rFonts w:ascii="Times New Roman" w:hAnsi="Times New Roman" w:cs="Times New Roman"/>
          <w:sz w:val="24"/>
          <w:szCs w:val="24"/>
        </w:rPr>
        <w:t xml:space="preserve">à la législation </w:t>
      </w:r>
      <w:r w:rsidRPr="0034540D">
        <w:rPr>
          <w:rFonts w:ascii="Times New Roman" w:hAnsi="Times New Roman" w:cs="Times New Roman"/>
          <w:sz w:val="24"/>
          <w:szCs w:val="24"/>
        </w:rPr>
        <w:t>des changes sont constatées par  procès verbaux de constat. Ces procès verbaux, comme soutenu plus haut, relatent  les opérations des agents visés à l’article 6 de la loi 2014-12 du 28 février 2014  dans les cas de vérification d’écritures et à l’occasion des investigations sur place et sur pièces. Se pose  alors la question  de la force probante  de ces procès verbaux de constat comme moyen de preuve.  Ainsi l’article 3</w:t>
      </w:r>
      <w:r w:rsidR="00D822A9" w:rsidRPr="0034540D">
        <w:rPr>
          <w:rFonts w:ascii="Times New Roman" w:hAnsi="Times New Roman" w:cs="Times New Roman"/>
          <w:sz w:val="24"/>
          <w:szCs w:val="24"/>
        </w:rPr>
        <w:t>14</w:t>
      </w:r>
      <w:r w:rsidRPr="0034540D">
        <w:rPr>
          <w:rFonts w:ascii="Times New Roman" w:hAnsi="Times New Roman" w:cs="Times New Roman"/>
          <w:sz w:val="24"/>
          <w:szCs w:val="24"/>
        </w:rPr>
        <w:t xml:space="preserve">  du </w:t>
      </w:r>
      <w:r w:rsidRPr="0034540D">
        <w:rPr>
          <w:rFonts w:ascii="Times New Roman" w:hAnsi="Times New Roman" w:cs="Times New Roman"/>
          <w:sz w:val="24"/>
          <w:szCs w:val="24"/>
        </w:rPr>
        <w:lastRenderedPageBreak/>
        <w:t xml:space="preserve">code des douanes  dispose que «  </w:t>
      </w:r>
      <w:r w:rsidRPr="0034540D">
        <w:rPr>
          <w:rFonts w:ascii="Times New Roman" w:hAnsi="Times New Roman" w:cs="Times New Roman"/>
          <w:i/>
          <w:sz w:val="24"/>
          <w:szCs w:val="24"/>
        </w:rPr>
        <w:t xml:space="preserve">Les procès-verbaux de douane rédigés par deux agents des douanes et les procès-verbaux constatant des infractions douanières rédigés par deux agents assermentés parmi ceux visés à l'article 301 du présent code, font foi jusqu'à inscription de faux des constatations matérielles qu'ils relatent. </w:t>
      </w:r>
    </w:p>
    <w:p w:rsidR="00513463"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i/>
          <w:sz w:val="24"/>
          <w:szCs w:val="24"/>
        </w:rPr>
        <w:t>2. Ils ne font foi que jusqu'à preuve contraire de l'exactitude et de la sincérité des aveux et déclarations qu'ils rapportent</w:t>
      </w:r>
      <w:r w:rsidRPr="0034540D">
        <w:rPr>
          <w:rFonts w:ascii="Times New Roman" w:hAnsi="Times New Roman" w:cs="Times New Roman"/>
          <w:sz w:val="24"/>
          <w:szCs w:val="24"/>
        </w:rPr>
        <w:t xml:space="preserve"> ». </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Et l’article </w:t>
      </w:r>
      <w:r w:rsidRPr="0034540D">
        <w:rPr>
          <w:rFonts w:ascii="Times New Roman" w:hAnsi="Times New Roman" w:cs="Times New Roman"/>
          <w:b/>
          <w:bCs/>
          <w:sz w:val="24"/>
          <w:szCs w:val="24"/>
        </w:rPr>
        <w:t xml:space="preserve"> 315  de prévoir que « </w:t>
      </w:r>
      <w:r w:rsidRPr="0034540D">
        <w:rPr>
          <w:rFonts w:ascii="Times New Roman" w:hAnsi="Times New Roman" w:cs="Times New Roman"/>
          <w:sz w:val="24"/>
          <w:szCs w:val="24"/>
        </w:rPr>
        <w:t xml:space="preserve">1. Les procès-verbaux de douane rédigés par un seul agent des douanes, ou un seul agent assermenté visé à l'article 301 du présent code font foi jusqu'à preuve contraire. </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2. En matière d'infractions constatées par procès-verbal de constat à la suite d'un contrôle d'écritures, la preuve contraire ne peut être rapportée qu'au moyen de documents de date certaine antérieure à celle de l'enquête effectuée par les agents verbalisateurs ».</w:t>
      </w:r>
    </w:p>
    <w:p w:rsidR="00513463" w:rsidRPr="0034540D" w:rsidRDefault="00513463" w:rsidP="001E5084">
      <w:pPr>
        <w:tabs>
          <w:tab w:val="left" w:pos="142"/>
          <w:tab w:val="left" w:pos="567"/>
          <w:tab w:val="left" w:pos="709"/>
        </w:tabs>
        <w:spacing w:line="360" w:lineRule="auto"/>
        <w:ind w:left="284"/>
        <w:jc w:val="both"/>
        <w:rPr>
          <w:rFonts w:ascii="Times New Roman" w:eastAsia="Times New Roman" w:hAnsi="Times New Roman" w:cs="Times New Roman"/>
          <w:color w:val="353535"/>
          <w:sz w:val="24"/>
          <w:szCs w:val="24"/>
          <w:lang w:eastAsia="fr-FR"/>
        </w:rPr>
      </w:pPr>
      <w:r w:rsidRPr="0034540D">
        <w:rPr>
          <w:rFonts w:ascii="Times New Roman" w:hAnsi="Times New Roman" w:cs="Times New Roman"/>
          <w:sz w:val="24"/>
          <w:szCs w:val="24"/>
        </w:rPr>
        <w:t xml:space="preserve">C’est ainsi qu’en </w:t>
      </w:r>
      <w:r w:rsidR="00A57F69" w:rsidRPr="0034540D">
        <w:rPr>
          <w:rFonts w:ascii="Times New Roman" w:hAnsi="Times New Roman" w:cs="Times New Roman"/>
          <w:sz w:val="24"/>
          <w:szCs w:val="24"/>
        </w:rPr>
        <w:t xml:space="preserve">matière de changes , l‘on en déduit  </w:t>
      </w:r>
      <w:r w:rsidR="00905A82" w:rsidRPr="0034540D">
        <w:rPr>
          <w:rFonts w:ascii="Times New Roman" w:hAnsi="Times New Roman" w:cs="Times New Roman"/>
          <w:sz w:val="24"/>
          <w:szCs w:val="24"/>
        </w:rPr>
        <w:t>que</w:t>
      </w:r>
      <w:r w:rsidR="00DA2AE2" w:rsidRPr="0034540D">
        <w:rPr>
          <w:rFonts w:ascii="Times New Roman" w:hAnsi="Times New Roman" w:cs="Times New Roman"/>
          <w:sz w:val="24"/>
          <w:szCs w:val="24"/>
        </w:rPr>
        <w:t xml:space="preserve"> les procès  verbaux de constat des infractions </w:t>
      </w:r>
      <w:r w:rsidR="00A57F69" w:rsidRPr="0034540D">
        <w:rPr>
          <w:rFonts w:ascii="Times New Roman" w:hAnsi="Times New Roman" w:cs="Times New Roman"/>
          <w:sz w:val="24"/>
          <w:szCs w:val="24"/>
        </w:rPr>
        <w:t>à la législation des changes valent jusqu’</w:t>
      </w:r>
      <w:r w:rsidR="00DA2AE2" w:rsidRPr="0034540D">
        <w:rPr>
          <w:rFonts w:ascii="Times New Roman" w:hAnsi="Times New Roman" w:cs="Times New Roman"/>
          <w:sz w:val="24"/>
          <w:szCs w:val="24"/>
        </w:rPr>
        <w:t>à inscription de faux</w:t>
      </w:r>
      <w:r w:rsidR="004641A5" w:rsidRPr="0034540D">
        <w:rPr>
          <w:rStyle w:val="Appelnotedebasdep"/>
          <w:rFonts w:ascii="Times New Roman" w:hAnsi="Times New Roman" w:cs="Times New Roman"/>
          <w:sz w:val="24"/>
          <w:szCs w:val="24"/>
        </w:rPr>
        <w:footnoteReference w:id="41"/>
      </w:r>
      <w:r w:rsidR="00DA2AE2" w:rsidRPr="0034540D">
        <w:rPr>
          <w:rFonts w:ascii="Times New Roman" w:hAnsi="Times New Roman" w:cs="Times New Roman"/>
          <w:sz w:val="24"/>
          <w:szCs w:val="24"/>
        </w:rPr>
        <w:t xml:space="preserve"> des constatations matérielles qu'ils relatent lorsqu’ils sont établis par deux agents </w:t>
      </w:r>
      <w:r w:rsidR="00A57F69" w:rsidRPr="0034540D">
        <w:rPr>
          <w:rFonts w:ascii="Times New Roman" w:hAnsi="Times New Roman" w:cs="Times New Roman"/>
          <w:sz w:val="24"/>
          <w:szCs w:val="24"/>
        </w:rPr>
        <w:t xml:space="preserve">habilités  désignés aux articles 6 et 11  de la loi 2014-26 </w:t>
      </w:r>
      <w:r w:rsidR="00DA2AE2" w:rsidRPr="0034540D">
        <w:rPr>
          <w:rFonts w:ascii="Times New Roman" w:hAnsi="Times New Roman" w:cs="Times New Roman"/>
          <w:sz w:val="24"/>
          <w:szCs w:val="24"/>
        </w:rPr>
        <w:t xml:space="preserve">ou  jusqu'à preuve contraire  lorsqu’ils sont dressés par  un seul </w:t>
      </w:r>
      <w:r w:rsidR="004641A5" w:rsidRPr="0034540D">
        <w:rPr>
          <w:rFonts w:ascii="Times New Roman" w:hAnsi="Times New Roman" w:cs="Times New Roman"/>
          <w:sz w:val="24"/>
          <w:szCs w:val="24"/>
        </w:rPr>
        <w:t>d</w:t>
      </w:r>
      <w:r w:rsidR="00220340" w:rsidRPr="0034540D">
        <w:rPr>
          <w:rFonts w:ascii="Times New Roman" w:hAnsi="Times New Roman" w:cs="Times New Roman"/>
          <w:sz w:val="24"/>
          <w:szCs w:val="24"/>
        </w:rPr>
        <w:t>e</w:t>
      </w:r>
      <w:r w:rsidR="004641A5" w:rsidRPr="0034540D">
        <w:rPr>
          <w:rFonts w:ascii="Times New Roman" w:hAnsi="Times New Roman" w:cs="Times New Roman"/>
          <w:sz w:val="24"/>
          <w:szCs w:val="24"/>
        </w:rPr>
        <w:t xml:space="preserve"> ces </w:t>
      </w:r>
      <w:r w:rsidR="00DA2AE2" w:rsidRPr="0034540D">
        <w:rPr>
          <w:rFonts w:ascii="Times New Roman" w:hAnsi="Times New Roman" w:cs="Times New Roman"/>
          <w:sz w:val="24"/>
          <w:szCs w:val="24"/>
        </w:rPr>
        <w:t>agent</w:t>
      </w:r>
      <w:r w:rsidR="004641A5" w:rsidRPr="0034540D">
        <w:rPr>
          <w:rFonts w:ascii="Times New Roman" w:hAnsi="Times New Roman" w:cs="Times New Roman"/>
          <w:sz w:val="24"/>
          <w:szCs w:val="24"/>
        </w:rPr>
        <w:t>s</w:t>
      </w:r>
      <w:r w:rsidR="00DA2AE2" w:rsidRPr="0034540D">
        <w:rPr>
          <w:rFonts w:ascii="Times New Roman" w:hAnsi="Times New Roman" w:cs="Times New Roman"/>
          <w:sz w:val="24"/>
          <w:szCs w:val="24"/>
        </w:rPr>
        <w:t>.</w:t>
      </w:r>
      <w:r w:rsidR="00905A82" w:rsidRPr="0034540D">
        <w:rPr>
          <w:rFonts w:ascii="Times New Roman" w:hAnsi="Times New Roman" w:cs="Times New Roman"/>
          <w:sz w:val="24"/>
          <w:szCs w:val="24"/>
        </w:rPr>
        <w:t xml:space="preserve"> De même, lorsqu’ils sont établis à la suite de contrôle d’</w:t>
      </w:r>
      <w:r w:rsidR="00A27D58" w:rsidRPr="0034540D">
        <w:rPr>
          <w:rFonts w:ascii="Times New Roman" w:hAnsi="Times New Roman" w:cs="Times New Roman"/>
          <w:sz w:val="24"/>
          <w:szCs w:val="24"/>
        </w:rPr>
        <w:t>écritures</w:t>
      </w:r>
      <w:r w:rsidR="00905A82" w:rsidRPr="0034540D">
        <w:rPr>
          <w:rFonts w:ascii="Times New Roman" w:hAnsi="Times New Roman" w:cs="Times New Roman"/>
          <w:sz w:val="24"/>
          <w:szCs w:val="24"/>
        </w:rPr>
        <w:t>,</w:t>
      </w:r>
      <w:r w:rsidR="00220340" w:rsidRPr="0034540D">
        <w:rPr>
          <w:rFonts w:ascii="Times New Roman" w:hAnsi="Times New Roman" w:cs="Times New Roman"/>
          <w:sz w:val="24"/>
          <w:szCs w:val="24"/>
        </w:rPr>
        <w:t xml:space="preserve"> </w:t>
      </w:r>
      <w:r w:rsidR="00905A82" w:rsidRPr="0034540D">
        <w:rPr>
          <w:rFonts w:ascii="Times New Roman" w:hAnsi="Times New Roman" w:cs="Times New Roman"/>
          <w:sz w:val="24"/>
          <w:szCs w:val="24"/>
        </w:rPr>
        <w:t xml:space="preserve">la preuve </w:t>
      </w:r>
      <w:r w:rsidR="00220340" w:rsidRPr="0034540D">
        <w:rPr>
          <w:rFonts w:ascii="Times New Roman" w:hAnsi="Times New Roman" w:cs="Times New Roman"/>
          <w:sz w:val="24"/>
          <w:szCs w:val="24"/>
        </w:rPr>
        <w:t>contraire</w:t>
      </w:r>
      <w:r w:rsidR="00905A82" w:rsidRPr="0034540D">
        <w:rPr>
          <w:rFonts w:ascii="Times New Roman" w:hAnsi="Times New Roman" w:cs="Times New Roman"/>
          <w:sz w:val="24"/>
          <w:szCs w:val="24"/>
        </w:rPr>
        <w:t xml:space="preserve">  peut être apporté</w:t>
      </w:r>
      <w:r w:rsidRPr="0034540D">
        <w:rPr>
          <w:rFonts w:ascii="Times New Roman" w:hAnsi="Times New Roman" w:cs="Times New Roman"/>
          <w:sz w:val="24"/>
          <w:szCs w:val="24"/>
        </w:rPr>
        <w:t>e</w:t>
      </w:r>
      <w:r w:rsidR="00905A82" w:rsidRPr="0034540D">
        <w:rPr>
          <w:rFonts w:ascii="Times New Roman" w:hAnsi="Times New Roman" w:cs="Times New Roman"/>
          <w:sz w:val="24"/>
          <w:szCs w:val="24"/>
        </w:rPr>
        <w:t xml:space="preserve"> au moyen de documents  </w:t>
      </w:r>
      <w:r w:rsidR="00220340" w:rsidRPr="0034540D">
        <w:rPr>
          <w:rFonts w:ascii="Times New Roman" w:hAnsi="Times New Roman" w:cs="Times New Roman"/>
          <w:sz w:val="24"/>
          <w:szCs w:val="24"/>
        </w:rPr>
        <w:t xml:space="preserve">de date certaine antérieure à celle de l'enquête effectuée par les agents verbalisateurs. </w:t>
      </w:r>
      <w:r w:rsidR="00DA2AE2" w:rsidRPr="0034540D">
        <w:rPr>
          <w:rFonts w:ascii="Times New Roman" w:hAnsi="Times New Roman" w:cs="Times New Roman"/>
          <w:sz w:val="24"/>
          <w:szCs w:val="24"/>
        </w:rPr>
        <w:t xml:space="preserve">Ceci revient à dire que la force probante reconnue aux procès  verbaux de constat </w:t>
      </w:r>
      <w:r w:rsidR="00220340" w:rsidRPr="0034540D">
        <w:rPr>
          <w:rFonts w:ascii="Times New Roman" w:hAnsi="Times New Roman" w:cs="Times New Roman"/>
          <w:sz w:val="24"/>
          <w:szCs w:val="24"/>
        </w:rPr>
        <w:t xml:space="preserve"> surtout ceux établis par les agents de la BCEAO à l’occasion de leur missions de vérification auprès des établissements de crédit est à </w:t>
      </w:r>
      <w:r w:rsidR="00220340" w:rsidRPr="0034540D">
        <w:rPr>
          <w:rFonts w:ascii="Times New Roman" w:hAnsi="Times New Roman" w:cs="Times New Roman"/>
          <w:sz w:val="24"/>
          <w:szCs w:val="24"/>
        </w:rPr>
        <w:lastRenderedPageBreak/>
        <w:t xml:space="preserve">relativiser, dés lors  que la preuve contraire peut être apportée dans les conditions ci-dessus </w:t>
      </w:r>
      <w:r w:rsidR="00A27D58" w:rsidRPr="0034540D">
        <w:rPr>
          <w:rFonts w:ascii="Times New Roman" w:hAnsi="Times New Roman" w:cs="Times New Roman"/>
          <w:sz w:val="24"/>
          <w:szCs w:val="24"/>
        </w:rPr>
        <w:t>développées.</w:t>
      </w:r>
      <w:r w:rsidR="00220340" w:rsidRPr="0034540D">
        <w:rPr>
          <w:rFonts w:ascii="Times New Roman" w:hAnsi="Times New Roman" w:cs="Times New Roman"/>
          <w:sz w:val="24"/>
          <w:szCs w:val="24"/>
        </w:rPr>
        <w:t xml:space="preserve"> </w:t>
      </w:r>
    </w:p>
    <w:p w:rsidR="00513463" w:rsidRPr="0034540D" w:rsidRDefault="00513463" w:rsidP="001E5084">
      <w:pPr>
        <w:tabs>
          <w:tab w:val="left" w:pos="142"/>
          <w:tab w:val="left" w:pos="567"/>
          <w:tab w:val="left" w:pos="709"/>
        </w:tabs>
        <w:autoSpaceDE w:val="0"/>
        <w:autoSpaceDN w:val="0"/>
        <w:adjustRightInd w:val="0"/>
        <w:spacing w:after="0" w:line="360" w:lineRule="auto"/>
        <w:ind w:left="567"/>
        <w:jc w:val="both"/>
        <w:rPr>
          <w:rFonts w:ascii="Times New Roman" w:eastAsia="Times New Roman" w:hAnsi="Times New Roman" w:cs="Times New Roman"/>
          <w:b/>
          <w:color w:val="212529"/>
          <w:sz w:val="24"/>
          <w:szCs w:val="24"/>
          <w:lang w:eastAsia="fr-FR"/>
        </w:rPr>
      </w:pPr>
      <w:r w:rsidRPr="0034540D">
        <w:rPr>
          <w:rFonts w:ascii="Times New Roman" w:eastAsia="Times New Roman" w:hAnsi="Times New Roman" w:cs="Times New Roman"/>
          <w:b/>
          <w:color w:val="212529"/>
          <w:sz w:val="24"/>
          <w:szCs w:val="24"/>
          <w:lang w:eastAsia="fr-FR"/>
        </w:rPr>
        <w:t>Cour de Cassation, n°13 du 06 avril 1995 1) Procureur Général prés la Cour d’Appel et 2) l’Administration des douanes c/ A Aa Ac</w:t>
      </w:r>
    </w:p>
    <w:p w:rsidR="00513463" w:rsidRPr="0034540D" w:rsidRDefault="00513463" w:rsidP="001E5084">
      <w:pPr>
        <w:tabs>
          <w:tab w:val="left" w:pos="142"/>
          <w:tab w:val="left" w:pos="567"/>
          <w:tab w:val="left" w:pos="709"/>
        </w:tabs>
        <w:autoSpaceDE w:val="0"/>
        <w:autoSpaceDN w:val="0"/>
        <w:adjustRightInd w:val="0"/>
        <w:spacing w:after="0" w:line="360" w:lineRule="auto"/>
        <w:ind w:left="567"/>
        <w:jc w:val="both"/>
        <w:rPr>
          <w:rFonts w:ascii="Times New Roman" w:eastAsia="Times New Roman" w:hAnsi="Times New Roman" w:cs="Times New Roman"/>
          <w:i/>
          <w:color w:val="212529"/>
          <w:sz w:val="24"/>
          <w:szCs w:val="24"/>
          <w:lang w:eastAsia="fr-FR"/>
        </w:rPr>
      </w:pPr>
      <w:r w:rsidRPr="0034540D">
        <w:rPr>
          <w:rFonts w:ascii="Times New Roman" w:eastAsia="Times New Roman" w:hAnsi="Times New Roman" w:cs="Times New Roman"/>
          <w:i/>
          <w:color w:val="212529"/>
          <w:sz w:val="24"/>
          <w:szCs w:val="24"/>
          <w:lang w:eastAsia="fr-FR"/>
        </w:rPr>
        <w:t>« ATTENDU qu'il est fait grief à l'arrêt attaqué d'avoir confirmé l'ordonnance de non-lieu rendue par le magistrat instructeur en faveur de DIOUM au motif que les témoignages recueillis sont de nature à écarter toute infraction de contrebande alors que les procès-verbaux de douane rédigés par deux agents, et les procès-verbaux constatant des infractions douanières rédigés par deux agents assermentés font foi jusqu'à inscription de faux des constatations matérielles qu'ils relatent;….. »</w:t>
      </w:r>
    </w:p>
    <w:p w:rsidR="00513463" w:rsidRPr="0034540D" w:rsidRDefault="005B1C9B"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eastAsia="Times New Roman" w:hAnsi="Times New Roman" w:cs="Times New Roman"/>
          <w:i/>
          <w:color w:val="212529"/>
          <w:sz w:val="24"/>
          <w:szCs w:val="24"/>
          <w:lang w:eastAsia="fr-FR"/>
        </w:rPr>
        <w:t xml:space="preserve">        </w:t>
      </w:r>
      <w:r w:rsidR="00513463" w:rsidRPr="0034540D">
        <w:rPr>
          <w:rFonts w:ascii="Times New Roman" w:eastAsia="Times New Roman" w:hAnsi="Times New Roman" w:cs="Times New Roman"/>
          <w:i/>
          <w:color w:val="212529"/>
          <w:sz w:val="24"/>
          <w:szCs w:val="24"/>
          <w:lang w:eastAsia="fr-FR"/>
        </w:rPr>
        <w:t>Voir Annexe jurisprudence</w:t>
      </w:r>
    </w:p>
    <w:p w:rsidR="00905A82" w:rsidRPr="0034540D" w:rsidRDefault="00905A82" w:rsidP="001E5084">
      <w:pPr>
        <w:tabs>
          <w:tab w:val="left" w:pos="142"/>
          <w:tab w:val="left" w:pos="567"/>
          <w:tab w:val="left" w:pos="709"/>
        </w:tabs>
        <w:spacing w:line="360" w:lineRule="auto"/>
        <w:ind w:left="1080"/>
        <w:jc w:val="both"/>
        <w:rPr>
          <w:rFonts w:ascii="Times New Roman" w:hAnsi="Times New Roman" w:cs="Times New Roman"/>
          <w:sz w:val="24"/>
          <w:szCs w:val="24"/>
        </w:rPr>
      </w:pPr>
      <w:r w:rsidRPr="0034540D">
        <w:rPr>
          <w:rFonts w:ascii="Times New Roman" w:hAnsi="Times New Roman" w:cs="Times New Roman"/>
          <w:sz w:val="24"/>
          <w:szCs w:val="24"/>
        </w:rPr>
        <w:t>-----------</w:t>
      </w:r>
    </w:p>
    <w:p w:rsidR="004641A5" w:rsidRPr="0034540D" w:rsidRDefault="004641A5" w:rsidP="001E5084">
      <w:pPr>
        <w:tabs>
          <w:tab w:val="left" w:pos="142"/>
          <w:tab w:val="left" w:pos="567"/>
          <w:tab w:val="left" w:pos="709"/>
        </w:tabs>
        <w:spacing w:line="360" w:lineRule="auto"/>
        <w:ind w:left="1080"/>
        <w:jc w:val="both"/>
        <w:rPr>
          <w:rFonts w:ascii="Times New Roman" w:hAnsi="Times New Roman" w:cs="Times New Roman"/>
          <w:sz w:val="24"/>
          <w:szCs w:val="24"/>
        </w:rPr>
      </w:pPr>
      <w:r w:rsidRPr="0034540D">
        <w:rPr>
          <w:rFonts w:ascii="Times New Roman" w:hAnsi="Times New Roman" w:cs="Times New Roman"/>
          <w:b/>
          <w:sz w:val="24"/>
          <w:szCs w:val="24"/>
        </w:rPr>
        <w:t>Note </w:t>
      </w:r>
      <w:r w:rsidR="00A27D58" w:rsidRPr="0034540D">
        <w:rPr>
          <w:rFonts w:ascii="Times New Roman" w:hAnsi="Times New Roman" w:cs="Times New Roman"/>
          <w:b/>
          <w:sz w:val="24"/>
          <w:szCs w:val="24"/>
        </w:rPr>
        <w:t>1</w:t>
      </w:r>
      <w:r w:rsidR="00A27D58" w:rsidRPr="0034540D">
        <w:rPr>
          <w:rFonts w:ascii="Times New Roman" w:hAnsi="Times New Roman" w:cs="Times New Roman"/>
          <w:sz w:val="24"/>
          <w:szCs w:val="24"/>
        </w:rPr>
        <w:t xml:space="preserve"> </w:t>
      </w:r>
      <w:r w:rsidRPr="0034540D">
        <w:rPr>
          <w:rFonts w:ascii="Times New Roman" w:hAnsi="Times New Roman" w:cs="Times New Roman"/>
          <w:sz w:val="24"/>
          <w:szCs w:val="24"/>
        </w:rPr>
        <w:t>:</w:t>
      </w:r>
      <w:r w:rsidR="00905A82" w:rsidRPr="0034540D">
        <w:rPr>
          <w:rFonts w:ascii="Times New Roman" w:hAnsi="Times New Roman" w:cs="Times New Roman"/>
          <w:sz w:val="24"/>
          <w:szCs w:val="24"/>
        </w:rPr>
        <w:t xml:space="preserve"> pour contes</w:t>
      </w:r>
      <w:r w:rsidRPr="0034540D">
        <w:rPr>
          <w:rFonts w:ascii="Times New Roman" w:hAnsi="Times New Roman" w:cs="Times New Roman"/>
          <w:sz w:val="24"/>
          <w:szCs w:val="24"/>
        </w:rPr>
        <w:t>ter les constatations matérielles contenues dans un procès verbal de douane régulièrement  dressés par deux agents  de d</w:t>
      </w:r>
      <w:r w:rsidR="00905A82" w:rsidRPr="0034540D">
        <w:rPr>
          <w:rFonts w:ascii="Times New Roman" w:hAnsi="Times New Roman" w:cs="Times New Roman"/>
          <w:sz w:val="24"/>
          <w:szCs w:val="24"/>
        </w:rPr>
        <w:t>ouane</w:t>
      </w:r>
      <w:r w:rsidRPr="0034540D">
        <w:rPr>
          <w:rFonts w:ascii="Times New Roman" w:hAnsi="Times New Roman" w:cs="Times New Roman"/>
          <w:sz w:val="24"/>
          <w:szCs w:val="24"/>
        </w:rPr>
        <w:t xml:space="preserve">, seule la procédure d’inscription de faux est ouverte. Cette procédure </w:t>
      </w:r>
      <w:r w:rsidR="00905A82" w:rsidRPr="0034540D">
        <w:rPr>
          <w:rFonts w:ascii="Times New Roman" w:hAnsi="Times New Roman" w:cs="Times New Roman"/>
          <w:sz w:val="24"/>
          <w:szCs w:val="24"/>
        </w:rPr>
        <w:t xml:space="preserve">assez contraignante pour le prévenu, est </w:t>
      </w:r>
      <w:r w:rsidRPr="0034540D">
        <w:rPr>
          <w:rFonts w:ascii="Times New Roman" w:hAnsi="Times New Roman" w:cs="Times New Roman"/>
          <w:sz w:val="24"/>
          <w:szCs w:val="24"/>
        </w:rPr>
        <w:t xml:space="preserve">définie, en matière douanière par les articles </w:t>
      </w:r>
      <w:r w:rsidR="00905A82" w:rsidRPr="0034540D">
        <w:rPr>
          <w:rFonts w:ascii="Times New Roman" w:hAnsi="Times New Roman" w:cs="Times New Roman"/>
          <w:sz w:val="24"/>
          <w:szCs w:val="24"/>
        </w:rPr>
        <w:t xml:space="preserve">317 à 320 du code des </w:t>
      </w:r>
      <w:r w:rsidR="00A27D58" w:rsidRPr="0034540D">
        <w:rPr>
          <w:rFonts w:ascii="Times New Roman" w:hAnsi="Times New Roman" w:cs="Times New Roman"/>
          <w:sz w:val="24"/>
          <w:szCs w:val="24"/>
        </w:rPr>
        <w:t>d</w:t>
      </w:r>
      <w:r w:rsidR="00905A82" w:rsidRPr="0034540D">
        <w:rPr>
          <w:rFonts w:ascii="Times New Roman" w:hAnsi="Times New Roman" w:cs="Times New Roman"/>
          <w:sz w:val="24"/>
          <w:szCs w:val="24"/>
        </w:rPr>
        <w:t xml:space="preserve">ouanes.  Cela révèle la force probante que revêtent les procès verbaux de constat régulièrement  établis.  </w:t>
      </w:r>
      <w:r w:rsidRPr="0034540D">
        <w:rPr>
          <w:rFonts w:ascii="Times New Roman" w:hAnsi="Times New Roman" w:cs="Times New Roman"/>
          <w:sz w:val="24"/>
          <w:szCs w:val="24"/>
        </w:rPr>
        <w:t xml:space="preserve"> </w:t>
      </w:r>
    </w:p>
    <w:p w:rsidR="00A27D58" w:rsidRPr="0034540D" w:rsidRDefault="00A27D58" w:rsidP="001E5084">
      <w:pPr>
        <w:tabs>
          <w:tab w:val="left" w:pos="142"/>
          <w:tab w:val="left" w:pos="567"/>
          <w:tab w:val="left" w:pos="709"/>
        </w:tabs>
        <w:spacing w:line="360" w:lineRule="auto"/>
        <w:ind w:left="1080"/>
        <w:jc w:val="both"/>
        <w:rPr>
          <w:rFonts w:ascii="Times New Roman" w:hAnsi="Times New Roman" w:cs="Times New Roman"/>
          <w:sz w:val="24"/>
          <w:szCs w:val="24"/>
        </w:rPr>
      </w:pPr>
      <w:r w:rsidRPr="0034540D">
        <w:rPr>
          <w:rFonts w:ascii="Times New Roman" w:hAnsi="Times New Roman" w:cs="Times New Roman"/>
          <w:b/>
          <w:sz w:val="24"/>
          <w:szCs w:val="24"/>
        </w:rPr>
        <w:t>Note 2 </w:t>
      </w:r>
      <w:r w:rsidRPr="0034540D">
        <w:rPr>
          <w:rFonts w:ascii="Times New Roman" w:hAnsi="Times New Roman" w:cs="Times New Roman"/>
          <w:sz w:val="24"/>
          <w:szCs w:val="24"/>
        </w:rPr>
        <w:t>: les constatations matérielles sont celles qui sont faites  directement par les rédacteurs  du procès-verbal relatives notamment au lieu où l’infraction a été constatée, la nature des marchandises, les circonstances   dans lesquelles un</w:t>
      </w:r>
      <w:r w:rsidR="00E467C3" w:rsidRPr="0034540D">
        <w:rPr>
          <w:rFonts w:ascii="Times New Roman" w:hAnsi="Times New Roman" w:cs="Times New Roman"/>
          <w:sz w:val="24"/>
          <w:szCs w:val="24"/>
        </w:rPr>
        <w:t>e arrestation a été opérée, etc</w:t>
      </w:r>
      <w:r w:rsidRPr="0034540D">
        <w:rPr>
          <w:rFonts w:ascii="Times New Roman" w:hAnsi="Times New Roman" w:cs="Times New Roman"/>
          <w:sz w:val="24"/>
          <w:szCs w:val="24"/>
        </w:rPr>
        <w:t>.</w:t>
      </w:r>
      <w:r w:rsidR="00E467C3" w:rsidRPr="0034540D">
        <w:rPr>
          <w:rFonts w:ascii="Times New Roman" w:hAnsi="Times New Roman" w:cs="Times New Roman"/>
          <w:sz w:val="24"/>
          <w:szCs w:val="24"/>
        </w:rPr>
        <w:t>.</w:t>
      </w:r>
    </w:p>
    <w:p w:rsidR="000E2A97" w:rsidRPr="0034540D" w:rsidRDefault="000E2A97" w:rsidP="001E5084">
      <w:pPr>
        <w:tabs>
          <w:tab w:val="left" w:pos="142"/>
          <w:tab w:val="left" w:pos="567"/>
          <w:tab w:val="left" w:pos="709"/>
        </w:tabs>
        <w:spacing w:line="360" w:lineRule="auto"/>
        <w:ind w:left="1080"/>
        <w:jc w:val="both"/>
        <w:rPr>
          <w:rFonts w:ascii="Times New Roman" w:hAnsi="Times New Roman" w:cs="Times New Roman"/>
          <w:b/>
          <w:sz w:val="24"/>
          <w:szCs w:val="24"/>
        </w:rPr>
      </w:pPr>
      <w:r w:rsidRPr="0034540D">
        <w:rPr>
          <w:rFonts w:ascii="Times New Roman" w:hAnsi="Times New Roman" w:cs="Times New Roman"/>
          <w:b/>
          <w:sz w:val="24"/>
          <w:szCs w:val="24"/>
        </w:rPr>
        <w:t>Cour suprême arrêt n°03 du 6 janvier 2009 MP et JAE  contre babagallé</w:t>
      </w:r>
      <w:r w:rsidR="00E467C3" w:rsidRPr="0034540D">
        <w:rPr>
          <w:rFonts w:ascii="Times New Roman" w:hAnsi="Times New Roman" w:cs="Times New Roman"/>
          <w:b/>
          <w:sz w:val="24"/>
          <w:szCs w:val="24"/>
        </w:rPr>
        <w:t xml:space="preserve"> TYA </w:t>
      </w:r>
      <w:r w:rsidRPr="0034540D">
        <w:rPr>
          <w:rFonts w:ascii="Times New Roman" w:hAnsi="Times New Roman" w:cs="Times New Roman"/>
          <w:b/>
          <w:sz w:val="24"/>
          <w:szCs w:val="24"/>
        </w:rPr>
        <w:t>BALDE</w:t>
      </w:r>
    </w:p>
    <w:p w:rsidR="00E467C3" w:rsidRPr="0034540D" w:rsidRDefault="00E467C3" w:rsidP="001E5084">
      <w:pPr>
        <w:tabs>
          <w:tab w:val="left" w:pos="142"/>
          <w:tab w:val="left" w:pos="567"/>
          <w:tab w:val="left" w:pos="709"/>
        </w:tabs>
        <w:spacing w:line="360" w:lineRule="auto"/>
        <w:ind w:left="1080"/>
        <w:jc w:val="both"/>
        <w:rPr>
          <w:rFonts w:ascii="Times New Roman" w:hAnsi="Times New Roman" w:cs="Times New Roman"/>
          <w:i/>
          <w:sz w:val="24"/>
          <w:szCs w:val="24"/>
        </w:rPr>
      </w:pPr>
      <w:r w:rsidRPr="0034540D">
        <w:rPr>
          <w:rFonts w:ascii="Times New Roman" w:hAnsi="Times New Roman" w:cs="Times New Roman"/>
          <w:b/>
          <w:sz w:val="24"/>
          <w:szCs w:val="24"/>
        </w:rPr>
        <w:t xml:space="preserve">«  </w:t>
      </w:r>
      <w:r w:rsidRPr="0034540D">
        <w:rPr>
          <w:rFonts w:ascii="Times New Roman" w:hAnsi="Times New Roman" w:cs="Times New Roman"/>
          <w:i/>
          <w:sz w:val="24"/>
          <w:szCs w:val="24"/>
        </w:rPr>
        <w:t xml:space="preserve">Attendu qu’en statuant ainsi, alors d’une part, quel es agents de douane, suivant procès verbal auquel s’est référé l’arrêt attaqué, ont constaté les éléments constitutifs de l’infraction douanière  et, d’autre part, que l’ordonnance précitée incrimine expressément la tentative, la cour d’Appel a méconnu les textes sus visés ;… » </w:t>
      </w:r>
    </w:p>
    <w:p w:rsidR="00E467C3" w:rsidRPr="0034540D" w:rsidRDefault="00E467C3" w:rsidP="001E5084">
      <w:pPr>
        <w:tabs>
          <w:tab w:val="left" w:pos="142"/>
          <w:tab w:val="left" w:pos="567"/>
          <w:tab w:val="left" w:pos="709"/>
        </w:tabs>
        <w:spacing w:line="360" w:lineRule="auto"/>
        <w:ind w:left="1080"/>
        <w:jc w:val="both"/>
        <w:rPr>
          <w:rFonts w:ascii="Times New Roman" w:hAnsi="Times New Roman" w:cs="Times New Roman"/>
          <w:i/>
          <w:sz w:val="24"/>
          <w:szCs w:val="24"/>
        </w:rPr>
      </w:pPr>
      <w:r w:rsidRPr="0034540D">
        <w:rPr>
          <w:rFonts w:ascii="Times New Roman" w:hAnsi="Times New Roman" w:cs="Times New Roman"/>
          <w:b/>
          <w:sz w:val="24"/>
          <w:szCs w:val="24"/>
        </w:rPr>
        <w:t xml:space="preserve">Voir </w:t>
      </w:r>
      <w:r w:rsidR="00D02209" w:rsidRPr="0034540D">
        <w:rPr>
          <w:rFonts w:ascii="Times New Roman" w:hAnsi="Times New Roman" w:cs="Times New Roman"/>
          <w:b/>
          <w:sz w:val="24"/>
          <w:szCs w:val="24"/>
        </w:rPr>
        <w:t>annexe juris</w:t>
      </w:r>
      <w:r w:rsidRPr="0034540D">
        <w:rPr>
          <w:rFonts w:ascii="Times New Roman" w:hAnsi="Times New Roman" w:cs="Times New Roman"/>
          <w:b/>
          <w:sz w:val="24"/>
          <w:szCs w:val="24"/>
        </w:rPr>
        <w:t>prudence</w:t>
      </w:r>
    </w:p>
    <w:p w:rsidR="00DA2AE2" w:rsidRPr="0034540D" w:rsidRDefault="00DA2AE2" w:rsidP="001E5084">
      <w:pPr>
        <w:pStyle w:val="Paragraphedeliste"/>
        <w:numPr>
          <w:ilvl w:val="0"/>
          <w:numId w:val="18"/>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lastRenderedPageBreak/>
        <w:t>Les peines infligées</w:t>
      </w:r>
      <w:r w:rsidR="005B1C9B" w:rsidRPr="0034540D">
        <w:rPr>
          <w:rFonts w:ascii="Times New Roman" w:hAnsi="Times New Roman" w:cs="Times New Roman"/>
          <w:b/>
          <w:sz w:val="24"/>
          <w:szCs w:val="24"/>
        </w:rPr>
        <w:t xml:space="preserve"> aux personnes reconnues coupables</w:t>
      </w:r>
    </w:p>
    <w:p w:rsidR="00DA2AE2" w:rsidRPr="0034540D" w:rsidRDefault="005B1C9B" w:rsidP="001E5084">
      <w:pPr>
        <w:pStyle w:val="Paragraphedeliste"/>
        <w:numPr>
          <w:ilvl w:val="0"/>
          <w:numId w:val="16"/>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Les peines infligées a</w:t>
      </w:r>
      <w:r w:rsidR="00DA2AE2" w:rsidRPr="0034540D">
        <w:rPr>
          <w:rFonts w:ascii="Times New Roman" w:hAnsi="Times New Roman" w:cs="Times New Roman"/>
          <w:b/>
          <w:sz w:val="24"/>
          <w:szCs w:val="24"/>
        </w:rPr>
        <w:t>ux personnes physiques</w:t>
      </w:r>
    </w:p>
    <w:p w:rsidR="00DA2AE2" w:rsidRPr="0034540D" w:rsidRDefault="00DA2AE2" w:rsidP="001E5084">
      <w:pPr>
        <w:pStyle w:val="Paragraphedeliste"/>
        <w:tabs>
          <w:tab w:val="left" w:pos="142"/>
          <w:tab w:val="left" w:pos="567"/>
          <w:tab w:val="left" w:pos="709"/>
        </w:tabs>
        <w:spacing w:line="360" w:lineRule="auto"/>
        <w:ind w:left="142"/>
        <w:jc w:val="both"/>
        <w:rPr>
          <w:rFonts w:ascii="Times New Roman" w:hAnsi="Times New Roman" w:cs="Times New Roman"/>
          <w:sz w:val="24"/>
          <w:szCs w:val="24"/>
        </w:rPr>
      </w:pPr>
      <w:r w:rsidRPr="0034540D">
        <w:rPr>
          <w:rFonts w:ascii="Times New Roman" w:hAnsi="Times New Roman" w:cs="Times New Roman"/>
          <w:sz w:val="24"/>
          <w:szCs w:val="24"/>
        </w:rPr>
        <w:t>Pour sanctionner les infractions à la législation  des changes commises par les personnes physiques, l’on peut</w:t>
      </w:r>
      <w:r w:rsidRPr="0034540D">
        <w:rPr>
          <w:rFonts w:ascii="Times New Roman" w:eastAsia="Times New Roman" w:hAnsi="Times New Roman" w:cs="Times New Roman"/>
          <w:color w:val="353535"/>
          <w:sz w:val="24"/>
          <w:szCs w:val="24"/>
          <w:lang w:eastAsia="fr-FR"/>
        </w:rPr>
        <w:t xml:space="preserve"> d’emblée attirer l’attention sur le fait  qu’un  large éventail de peines susceptibles d’être prononcées par le juge pénal  est prévu. La loi </w:t>
      </w:r>
      <w:r w:rsidR="005B1C9B" w:rsidRPr="0034540D">
        <w:rPr>
          <w:rFonts w:ascii="Times New Roman" w:eastAsia="Times New Roman" w:hAnsi="Times New Roman" w:cs="Times New Roman"/>
          <w:color w:val="353535"/>
          <w:sz w:val="24"/>
          <w:szCs w:val="24"/>
          <w:lang w:eastAsia="fr-FR"/>
        </w:rPr>
        <w:t>du</w:t>
      </w:r>
      <w:r w:rsidRPr="0034540D">
        <w:rPr>
          <w:rFonts w:ascii="Times New Roman" w:eastAsia="Times New Roman" w:hAnsi="Times New Roman" w:cs="Times New Roman"/>
          <w:color w:val="353535"/>
          <w:sz w:val="24"/>
          <w:szCs w:val="24"/>
          <w:lang w:eastAsia="fr-FR"/>
        </w:rPr>
        <w:t xml:space="preserve"> </w:t>
      </w:r>
      <w:r w:rsidR="005B1C9B" w:rsidRPr="0034540D">
        <w:rPr>
          <w:rFonts w:ascii="Times New Roman" w:eastAsia="Times New Roman" w:hAnsi="Times New Roman" w:cs="Times New Roman"/>
          <w:color w:val="353535"/>
          <w:sz w:val="24"/>
          <w:szCs w:val="24"/>
          <w:lang w:eastAsia="fr-FR"/>
        </w:rPr>
        <w:t xml:space="preserve"> </w:t>
      </w:r>
      <w:r w:rsidR="005B1C9B" w:rsidRPr="0034540D">
        <w:rPr>
          <w:rFonts w:ascii="Times New Roman" w:hAnsi="Times New Roman" w:cs="Times New Roman"/>
          <w:bCs/>
          <w:sz w:val="24"/>
          <w:szCs w:val="24"/>
        </w:rPr>
        <w:t xml:space="preserve">28 février 2014  sur le contentieux des infractions à la réglementation des relations financières  extérieures  des Etats membres de l’Union Economique et Monétaire  Ouest Africaine (UEMOA </w:t>
      </w:r>
      <w:r w:rsidRPr="0034540D">
        <w:rPr>
          <w:rFonts w:ascii="Times New Roman" w:eastAsia="Times New Roman" w:hAnsi="Times New Roman" w:cs="Times New Roman"/>
          <w:color w:val="353535"/>
          <w:sz w:val="24"/>
          <w:szCs w:val="24"/>
          <w:lang w:eastAsia="fr-FR"/>
        </w:rPr>
        <w:t xml:space="preserve">prévoit </w:t>
      </w:r>
      <w:r w:rsidR="005B1C9B" w:rsidRPr="0034540D">
        <w:rPr>
          <w:rFonts w:ascii="Times New Roman" w:eastAsia="Times New Roman" w:hAnsi="Times New Roman" w:cs="Times New Roman"/>
          <w:color w:val="353535"/>
          <w:sz w:val="24"/>
          <w:szCs w:val="24"/>
          <w:lang w:eastAsia="fr-FR"/>
        </w:rPr>
        <w:t xml:space="preserve"> que </w:t>
      </w:r>
      <w:r w:rsidRPr="0034540D">
        <w:rPr>
          <w:rFonts w:ascii="Times New Roman" w:eastAsia="Times New Roman" w:hAnsi="Times New Roman" w:cs="Times New Roman"/>
          <w:color w:val="353535"/>
          <w:sz w:val="24"/>
          <w:szCs w:val="24"/>
          <w:lang w:eastAsia="fr-FR"/>
        </w:rPr>
        <w:t xml:space="preserve">des  </w:t>
      </w:r>
      <w:r w:rsidRPr="0034540D">
        <w:rPr>
          <w:rFonts w:ascii="Times New Roman" w:hAnsi="Times New Roman" w:cs="Times New Roman"/>
          <w:sz w:val="24"/>
          <w:szCs w:val="24"/>
        </w:rPr>
        <w:t>peines principale</w:t>
      </w:r>
      <w:r w:rsidR="005B1C9B" w:rsidRPr="0034540D">
        <w:rPr>
          <w:rFonts w:ascii="Times New Roman" w:hAnsi="Times New Roman" w:cs="Times New Roman"/>
          <w:sz w:val="24"/>
          <w:szCs w:val="24"/>
        </w:rPr>
        <w:t>s et des peines accessoires</w:t>
      </w:r>
      <w:r w:rsidRPr="0034540D">
        <w:rPr>
          <w:rFonts w:ascii="Times New Roman" w:hAnsi="Times New Roman" w:cs="Times New Roman"/>
          <w:sz w:val="24"/>
          <w:szCs w:val="24"/>
        </w:rPr>
        <w:t xml:space="preserve"> peuvent être prises à l’encontre de ces personnes  et même de la possibilité de leurs appliquer en sus de celles-ci, des peines de droit commun.  Ainsi les personnes  physiques coupables  ou complices d’une infraction à la réglementation des changes notamment de l’inexécution de l’obligation de déclaration, de l’inobservation des procédures et formalités ou justificatifs exigés,    sont punies d’une peine d’emprisonnement d’un (01) an à cinq (05) ans et d’une amende dont le montant minimum correspond à la somme ou valeur sur laquelle a porté l’infraction et, dont le maximum, est le quintuple de ladite somme ou de ladite valeur. La tentative est aussi punie des mêmes peines En outre, elles  seront punies d’une peine de d’emprisonnement de deux (02) ans à sept (07)ans  et d’une amende égale au minimum, au double du montant de la somme ou valeur sur laquelle a porté l’infraction et, au maximum, au décuple de ladite somme ou de ladite valeur en cas d’entente ou de participation à une association en vue de commettre une infraction à la législation des changes. En cas d’incitation par écrit, par conseil, par propagande ou par publicité, à commettre une infraction à la réglementation des changes, que cette incitation est ou non suivie d’effet, qu’elle ait été émise ou reçue  au Sénégal ou à l’étranger, la personnes physiques auteure est punie d’un emprisonnement d’un (1) an à cinq (5) ans et d’une amende de cinq millions (5.000.000) à cinquante millions (50.000.000) de francs.</w:t>
      </w:r>
    </w:p>
    <w:p w:rsidR="00DA2AE2" w:rsidRPr="0034540D" w:rsidRDefault="00DA2AE2" w:rsidP="001E5084">
      <w:pPr>
        <w:pStyle w:val="Paragraphedeliste"/>
        <w:tabs>
          <w:tab w:val="left" w:pos="142"/>
          <w:tab w:val="left" w:pos="567"/>
          <w:tab w:val="left" w:pos="709"/>
        </w:tabs>
        <w:spacing w:line="360" w:lineRule="auto"/>
        <w:ind w:left="142"/>
        <w:jc w:val="both"/>
        <w:rPr>
          <w:rFonts w:ascii="Times New Roman" w:eastAsia="Times New Roman" w:hAnsi="Times New Roman" w:cs="Times New Roman"/>
          <w:color w:val="353535"/>
          <w:sz w:val="24"/>
          <w:szCs w:val="24"/>
          <w:lang w:eastAsia="fr-FR"/>
        </w:rPr>
      </w:pPr>
      <w:r w:rsidRPr="0034540D">
        <w:rPr>
          <w:rFonts w:ascii="Times New Roman" w:hAnsi="Times New Roman" w:cs="Times New Roman"/>
          <w:sz w:val="24"/>
          <w:szCs w:val="24"/>
        </w:rPr>
        <w:t xml:space="preserve">A la lecture de ce qui précède  l’on remarque que </w:t>
      </w:r>
      <w:r w:rsidRPr="0034540D">
        <w:rPr>
          <w:rFonts w:ascii="Times New Roman" w:eastAsia="Times New Roman" w:hAnsi="Times New Roman" w:cs="Times New Roman"/>
          <w:color w:val="353535"/>
          <w:sz w:val="24"/>
          <w:szCs w:val="24"/>
          <w:lang w:eastAsia="fr-FR"/>
        </w:rPr>
        <w:t xml:space="preserve">La loi sur le </w:t>
      </w:r>
      <w:r w:rsidR="005B1C9B" w:rsidRPr="0034540D">
        <w:rPr>
          <w:rFonts w:ascii="Times New Roman" w:eastAsia="Times New Roman" w:hAnsi="Times New Roman" w:cs="Times New Roman"/>
          <w:color w:val="353535"/>
          <w:sz w:val="24"/>
          <w:szCs w:val="24"/>
          <w:lang w:eastAsia="fr-FR"/>
        </w:rPr>
        <w:t xml:space="preserve">2014-12 du </w:t>
      </w:r>
      <w:r w:rsidR="005B1C9B" w:rsidRPr="0034540D">
        <w:rPr>
          <w:rFonts w:ascii="Times New Roman" w:hAnsi="Times New Roman" w:cs="Times New Roman"/>
          <w:bCs/>
          <w:sz w:val="24"/>
          <w:szCs w:val="24"/>
        </w:rPr>
        <w:t>28 février 2014  sur le contentieux des infractions à la réglementation des relations financières  extérieures  des Etats membres de l’Union Economique et Monétaire  Ouest Africaine (UEMOA)</w:t>
      </w:r>
      <w:r w:rsidRPr="0034540D">
        <w:rPr>
          <w:rFonts w:ascii="Times New Roman" w:eastAsia="Times New Roman" w:hAnsi="Times New Roman" w:cs="Times New Roman"/>
          <w:color w:val="353535"/>
          <w:sz w:val="24"/>
          <w:szCs w:val="24"/>
          <w:lang w:eastAsia="fr-FR"/>
        </w:rPr>
        <w:t>,</w:t>
      </w:r>
      <w:r w:rsidR="005B1C9B" w:rsidRPr="0034540D">
        <w:rPr>
          <w:rFonts w:ascii="Times New Roman" w:eastAsia="Times New Roman" w:hAnsi="Times New Roman" w:cs="Times New Roman"/>
          <w:color w:val="353535"/>
          <w:sz w:val="24"/>
          <w:szCs w:val="24"/>
          <w:lang w:eastAsia="fr-FR"/>
        </w:rPr>
        <w:t xml:space="preserve"> </w:t>
      </w:r>
      <w:r w:rsidRPr="0034540D">
        <w:rPr>
          <w:rFonts w:ascii="Times New Roman" w:eastAsia="Times New Roman" w:hAnsi="Times New Roman" w:cs="Times New Roman"/>
          <w:color w:val="353535"/>
          <w:sz w:val="24"/>
          <w:szCs w:val="24"/>
          <w:lang w:eastAsia="fr-FR"/>
        </w:rPr>
        <w:t xml:space="preserve">l’amende. Mais relevons que dans la pratique la  peine de l’emprisonnement  revêt un caractère tout à fait exceptionnel dans la mesure où la peine la plus fréquemment prononcée est celle de l’amende. </w:t>
      </w:r>
    </w:p>
    <w:p w:rsidR="00DA2AE2" w:rsidRPr="0034540D" w:rsidRDefault="00DA2AE2" w:rsidP="001E5084">
      <w:pPr>
        <w:pStyle w:val="Paragraphedeliste"/>
        <w:tabs>
          <w:tab w:val="left" w:pos="142"/>
          <w:tab w:val="left" w:pos="567"/>
          <w:tab w:val="left" w:pos="709"/>
        </w:tabs>
        <w:spacing w:line="360" w:lineRule="auto"/>
        <w:ind w:left="142"/>
        <w:jc w:val="both"/>
        <w:rPr>
          <w:rFonts w:ascii="Times New Roman" w:eastAsia="Times New Roman" w:hAnsi="Times New Roman" w:cs="Times New Roman"/>
          <w:color w:val="353535"/>
          <w:sz w:val="24"/>
          <w:szCs w:val="24"/>
          <w:lang w:eastAsia="fr-FR"/>
        </w:rPr>
      </w:pPr>
      <w:r w:rsidRPr="0034540D">
        <w:rPr>
          <w:rFonts w:ascii="Times New Roman" w:eastAsia="Times New Roman" w:hAnsi="Times New Roman" w:cs="Times New Roman"/>
          <w:color w:val="353535"/>
          <w:sz w:val="24"/>
          <w:szCs w:val="24"/>
          <w:lang w:eastAsia="fr-FR"/>
        </w:rPr>
        <w:lastRenderedPageBreak/>
        <w:t>En sus de l’amende la loi sur le contentieux sus visée, prévoit comme autre peine privative de patrimoine, la confiscation du corps du délit  ainsi que de celle des moyens de transport qui ont servi à commettre ou tenter l’infraction.  Même en cas de non représentation de ces objets ou de l’impossibilité de les saisir, le Ministre chargé des finances peut saisir le juge compétent, pour le paiement d’un montant égal à la valeur des objets devant être saisis. La confiscation du corps du délit ou la condamnation  est prononcée en tout état de cause. L’efficacité de cette peine est, il convient de le noter, renforcée dans la mesure où les objets sur lesquels elle porte, peuvent avoir été préalablement saisis par les agents chargés de rechercher et de constater les infractions.</w:t>
      </w:r>
    </w:p>
    <w:p w:rsidR="00506E61" w:rsidRPr="0034540D" w:rsidRDefault="00506E61" w:rsidP="001E5084">
      <w:pPr>
        <w:pStyle w:val="Paragraphedeliste"/>
        <w:tabs>
          <w:tab w:val="left" w:pos="142"/>
          <w:tab w:val="left" w:pos="567"/>
          <w:tab w:val="left" w:pos="709"/>
        </w:tabs>
        <w:spacing w:line="360" w:lineRule="auto"/>
        <w:ind w:left="1701"/>
        <w:jc w:val="both"/>
        <w:rPr>
          <w:rFonts w:ascii="Times New Roman" w:eastAsia="Times New Roman" w:hAnsi="Times New Roman" w:cs="Times New Roman"/>
          <w:b/>
          <w:color w:val="353535"/>
          <w:sz w:val="24"/>
          <w:szCs w:val="24"/>
          <w:lang w:eastAsia="fr-FR"/>
        </w:rPr>
      </w:pPr>
      <w:r w:rsidRPr="0034540D">
        <w:rPr>
          <w:rFonts w:ascii="Times New Roman" w:eastAsia="Times New Roman" w:hAnsi="Times New Roman" w:cs="Times New Roman"/>
          <w:b/>
          <w:color w:val="353535"/>
          <w:sz w:val="24"/>
          <w:szCs w:val="24"/>
          <w:lang w:eastAsia="fr-FR"/>
        </w:rPr>
        <w:t>Cour Suprême, arrêt du 28 avril 1962</w:t>
      </w:r>
      <w:r w:rsidR="00E467C3" w:rsidRPr="0034540D">
        <w:rPr>
          <w:rFonts w:ascii="Times New Roman" w:eastAsia="Times New Roman" w:hAnsi="Times New Roman" w:cs="Times New Roman"/>
          <w:b/>
          <w:color w:val="353535"/>
          <w:sz w:val="24"/>
          <w:szCs w:val="24"/>
          <w:lang w:eastAsia="fr-FR"/>
        </w:rPr>
        <w:t xml:space="preserve"> Mpc/Haddad JAMIL</w:t>
      </w:r>
    </w:p>
    <w:p w:rsidR="00B60C63" w:rsidRPr="0034540D" w:rsidRDefault="00AF6094" w:rsidP="001E5084">
      <w:pPr>
        <w:pStyle w:val="Paragraphedeliste"/>
        <w:tabs>
          <w:tab w:val="left" w:pos="142"/>
          <w:tab w:val="left" w:pos="567"/>
          <w:tab w:val="left" w:pos="709"/>
        </w:tabs>
        <w:spacing w:line="360" w:lineRule="auto"/>
        <w:ind w:left="1701"/>
        <w:jc w:val="both"/>
        <w:rPr>
          <w:rFonts w:ascii="Times New Roman" w:eastAsia="Times New Roman" w:hAnsi="Times New Roman" w:cs="Times New Roman"/>
          <w:i/>
          <w:color w:val="353535"/>
          <w:sz w:val="24"/>
          <w:szCs w:val="24"/>
          <w:lang w:eastAsia="fr-FR"/>
        </w:rPr>
      </w:pPr>
      <w:r w:rsidRPr="0034540D">
        <w:rPr>
          <w:rFonts w:ascii="Times New Roman" w:eastAsia="Times New Roman" w:hAnsi="Times New Roman" w:cs="Times New Roman"/>
          <w:color w:val="353535"/>
          <w:sz w:val="24"/>
          <w:szCs w:val="24"/>
          <w:lang w:eastAsia="fr-FR"/>
        </w:rPr>
        <w:t xml:space="preserve">«  </w:t>
      </w:r>
      <w:r w:rsidRPr="0034540D">
        <w:rPr>
          <w:rFonts w:ascii="Times New Roman" w:eastAsia="Times New Roman" w:hAnsi="Times New Roman" w:cs="Times New Roman"/>
          <w:i/>
          <w:color w:val="353535"/>
          <w:sz w:val="24"/>
          <w:szCs w:val="24"/>
          <w:lang w:eastAsia="fr-FR"/>
        </w:rPr>
        <w:t>Mais entendu que l’article 17  dudit décret du 27 novembre 1947 prévoit, outre les peines de l’article 15</w:t>
      </w:r>
      <w:r w:rsidR="00B60C63" w:rsidRPr="0034540D">
        <w:rPr>
          <w:rFonts w:ascii="Times New Roman" w:eastAsia="Times New Roman" w:hAnsi="Times New Roman" w:cs="Times New Roman"/>
          <w:i/>
          <w:color w:val="353535"/>
          <w:sz w:val="24"/>
          <w:szCs w:val="24"/>
          <w:lang w:eastAsia="fr-FR"/>
        </w:rPr>
        <w:t>,</w:t>
      </w:r>
      <w:r w:rsidR="00F261F4" w:rsidRPr="0034540D">
        <w:rPr>
          <w:rFonts w:ascii="Times New Roman" w:eastAsia="Times New Roman" w:hAnsi="Times New Roman" w:cs="Times New Roman"/>
          <w:i/>
          <w:color w:val="353535"/>
          <w:sz w:val="24"/>
          <w:szCs w:val="24"/>
          <w:lang w:eastAsia="fr-FR"/>
        </w:rPr>
        <w:t xml:space="preserve"> </w:t>
      </w:r>
      <w:r w:rsidR="00B60C63" w:rsidRPr="0034540D">
        <w:rPr>
          <w:rFonts w:ascii="Times New Roman" w:eastAsia="Times New Roman" w:hAnsi="Times New Roman" w:cs="Times New Roman"/>
          <w:i/>
          <w:color w:val="353535"/>
          <w:sz w:val="24"/>
          <w:szCs w:val="24"/>
          <w:lang w:eastAsia="fr-FR"/>
        </w:rPr>
        <w:t>de la  confiscation inéluctable de l’objet du délit ou, s’il n’a pu être saisi, une condamnation pécuniaire  d’un montant égal à</w:t>
      </w:r>
      <w:r w:rsidR="0041432C" w:rsidRPr="0034540D">
        <w:rPr>
          <w:rFonts w:ascii="Times New Roman" w:eastAsia="Times New Roman" w:hAnsi="Times New Roman" w:cs="Times New Roman"/>
          <w:i/>
          <w:color w:val="353535"/>
          <w:sz w:val="24"/>
          <w:szCs w:val="24"/>
          <w:lang w:eastAsia="fr-FR"/>
        </w:rPr>
        <w:t xml:space="preserve"> </w:t>
      </w:r>
      <w:r w:rsidR="00B60C63" w:rsidRPr="0034540D">
        <w:rPr>
          <w:rFonts w:ascii="Times New Roman" w:eastAsia="Times New Roman" w:hAnsi="Times New Roman" w:cs="Times New Roman"/>
          <w:i/>
          <w:color w:val="353535"/>
          <w:sz w:val="24"/>
          <w:szCs w:val="24"/>
          <w:lang w:eastAsia="fr-FR"/>
        </w:rPr>
        <w:t>sa valeur  augmentée du bénéfice illicite que les délinquants ont réalisé ou voulu réaliser ;</w:t>
      </w:r>
    </w:p>
    <w:p w:rsidR="00B60C63" w:rsidRPr="0034540D" w:rsidRDefault="00B60C63" w:rsidP="001E5084">
      <w:pPr>
        <w:pStyle w:val="Paragraphedeliste"/>
        <w:tabs>
          <w:tab w:val="left" w:pos="142"/>
          <w:tab w:val="left" w:pos="567"/>
          <w:tab w:val="left" w:pos="709"/>
        </w:tabs>
        <w:spacing w:line="360" w:lineRule="auto"/>
        <w:ind w:left="1701"/>
        <w:jc w:val="both"/>
        <w:rPr>
          <w:rFonts w:ascii="Times New Roman" w:eastAsia="Times New Roman" w:hAnsi="Times New Roman" w:cs="Times New Roman"/>
          <w:i/>
          <w:color w:val="353535"/>
          <w:sz w:val="24"/>
          <w:szCs w:val="24"/>
          <w:lang w:eastAsia="fr-FR"/>
        </w:rPr>
      </w:pPr>
      <w:r w:rsidRPr="0034540D">
        <w:rPr>
          <w:rFonts w:ascii="Times New Roman" w:eastAsia="Times New Roman" w:hAnsi="Times New Roman" w:cs="Times New Roman"/>
          <w:i/>
          <w:color w:val="353535"/>
          <w:sz w:val="24"/>
          <w:szCs w:val="24"/>
          <w:lang w:eastAsia="fr-FR"/>
        </w:rPr>
        <w:t>At</w:t>
      </w:r>
      <w:r w:rsidR="00CD64B2" w:rsidRPr="0034540D">
        <w:rPr>
          <w:rFonts w:ascii="Times New Roman" w:eastAsia="Times New Roman" w:hAnsi="Times New Roman" w:cs="Times New Roman"/>
          <w:i/>
          <w:color w:val="353535"/>
          <w:sz w:val="24"/>
          <w:szCs w:val="24"/>
          <w:lang w:eastAsia="fr-FR"/>
        </w:rPr>
        <w:t>t</w:t>
      </w:r>
      <w:r w:rsidRPr="0034540D">
        <w:rPr>
          <w:rFonts w:ascii="Times New Roman" w:eastAsia="Times New Roman" w:hAnsi="Times New Roman" w:cs="Times New Roman"/>
          <w:i/>
          <w:color w:val="353535"/>
          <w:sz w:val="24"/>
          <w:szCs w:val="24"/>
          <w:lang w:eastAsia="fr-FR"/>
        </w:rPr>
        <w:t xml:space="preserve">endu </w:t>
      </w:r>
      <w:r w:rsidR="00CD64B2" w:rsidRPr="0034540D">
        <w:rPr>
          <w:rFonts w:ascii="Times New Roman" w:eastAsia="Times New Roman" w:hAnsi="Times New Roman" w:cs="Times New Roman"/>
          <w:i/>
          <w:color w:val="353535"/>
          <w:sz w:val="24"/>
          <w:szCs w:val="24"/>
          <w:lang w:eastAsia="fr-FR"/>
        </w:rPr>
        <w:t xml:space="preserve"> </w:t>
      </w:r>
      <w:r w:rsidRPr="0034540D">
        <w:rPr>
          <w:rFonts w:ascii="Times New Roman" w:eastAsia="Times New Roman" w:hAnsi="Times New Roman" w:cs="Times New Roman"/>
          <w:i/>
          <w:color w:val="353535"/>
          <w:sz w:val="24"/>
          <w:szCs w:val="24"/>
          <w:lang w:eastAsia="fr-FR"/>
        </w:rPr>
        <w:t>que cette mesure, dont le but consiste tant à retirer de la circulation un moyen de spéculation sur les monnaies des pays de la zone franc…… ;</w:t>
      </w:r>
    </w:p>
    <w:p w:rsidR="00B60C63" w:rsidRPr="0034540D" w:rsidRDefault="00B60C63" w:rsidP="001E5084">
      <w:pPr>
        <w:pStyle w:val="Paragraphedeliste"/>
        <w:tabs>
          <w:tab w:val="left" w:pos="142"/>
          <w:tab w:val="left" w:pos="567"/>
          <w:tab w:val="left" w:pos="709"/>
        </w:tabs>
        <w:spacing w:line="360" w:lineRule="auto"/>
        <w:ind w:left="1701"/>
        <w:jc w:val="both"/>
        <w:rPr>
          <w:rFonts w:ascii="Times New Roman" w:eastAsia="Times New Roman" w:hAnsi="Times New Roman" w:cs="Times New Roman"/>
          <w:i/>
          <w:color w:val="353535"/>
          <w:sz w:val="24"/>
          <w:szCs w:val="24"/>
          <w:lang w:eastAsia="fr-FR"/>
        </w:rPr>
      </w:pPr>
      <w:r w:rsidRPr="0034540D">
        <w:rPr>
          <w:rFonts w:ascii="Times New Roman" w:eastAsia="Times New Roman" w:hAnsi="Times New Roman" w:cs="Times New Roman"/>
          <w:i/>
          <w:color w:val="353535"/>
          <w:sz w:val="24"/>
          <w:szCs w:val="24"/>
          <w:lang w:eastAsia="fr-FR"/>
        </w:rPr>
        <w:t xml:space="preserve">Attendu qu’en étendant  les effets de l’amnistie à la condamnation pécuniaire……. La Cour a violé les textes visés au moyen…. »  </w:t>
      </w:r>
    </w:p>
    <w:p w:rsidR="00B60C63" w:rsidRPr="0034540D" w:rsidRDefault="00B60C63" w:rsidP="001E5084">
      <w:pPr>
        <w:pStyle w:val="Paragraphedeliste"/>
        <w:tabs>
          <w:tab w:val="left" w:pos="142"/>
          <w:tab w:val="left" w:pos="567"/>
          <w:tab w:val="left" w:pos="709"/>
        </w:tabs>
        <w:spacing w:line="360" w:lineRule="auto"/>
        <w:jc w:val="both"/>
        <w:rPr>
          <w:rFonts w:ascii="Times New Roman" w:eastAsia="Times New Roman" w:hAnsi="Times New Roman" w:cs="Times New Roman"/>
          <w:color w:val="353535"/>
          <w:sz w:val="24"/>
          <w:szCs w:val="24"/>
          <w:lang w:eastAsia="fr-FR"/>
        </w:rPr>
      </w:pPr>
      <w:r w:rsidRPr="0034540D">
        <w:rPr>
          <w:rFonts w:ascii="Times New Roman" w:eastAsia="Times New Roman" w:hAnsi="Times New Roman" w:cs="Times New Roman"/>
          <w:color w:val="353535"/>
          <w:sz w:val="24"/>
          <w:szCs w:val="24"/>
          <w:lang w:eastAsia="fr-FR"/>
        </w:rPr>
        <w:t xml:space="preserve">Voir annexe </w:t>
      </w:r>
    </w:p>
    <w:p w:rsidR="00DA2AE2" w:rsidRPr="0034540D" w:rsidRDefault="00DA2AE2" w:rsidP="001E5084">
      <w:pPr>
        <w:pStyle w:val="Paragraphedeliste"/>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A cote de ces peines principales,  la loi </w:t>
      </w:r>
      <w:r w:rsidR="00F261F4" w:rsidRPr="0034540D">
        <w:rPr>
          <w:rFonts w:ascii="Times New Roman" w:hAnsi="Times New Roman" w:cs="Times New Roman"/>
          <w:sz w:val="24"/>
          <w:szCs w:val="24"/>
        </w:rPr>
        <w:t>n°</w:t>
      </w:r>
      <w:r w:rsidRPr="0034540D">
        <w:rPr>
          <w:rFonts w:ascii="Times New Roman" w:hAnsi="Times New Roman" w:cs="Times New Roman"/>
          <w:sz w:val="24"/>
          <w:szCs w:val="24"/>
        </w:rPr>
        <w:t>2014-12</w:t>
      </w:r>
      <w:r w:rsidR="00F261F4" w:rsidRPr="0034540D">
        <w:rPr>
          <w:rFonts w:ascii="Times New Roman" w:hAnsi="Times New Roman" w:cs="Times New Roman"/>
          <w:sz w:val="24"/>
          <w:szCs w:val="24"/>
        </w:rPr>
        <w:t xml:space="preserve">   du 28 février 2014 sus visée </w:t>
      </w:r>
      <w:r w:rsidRPr="0034540D">
        <w:rPr>
          <w:rFonts w:ascii="Times New Roman" w:hAnsi="Times New Roman" w:cs="Times New Roman"/>
          <w:sz w:val="24"/>
          <w:szCs w:val="24"/>
        </w:rPr>
        <w:t xml:space="preserve"> prévoit des peines accessoires.  Au titre de celles-ci, </w:t>
      </w:r>
      <w:r w:rsidR="00CD64B2" w:rsidRPr="0034540D">
        <w:rPr>
          <w:rFonts w:ascii="Times New Roman" w:hAnsi="Times New Roman" w:cs="Times New Roman"/>
          <w:sz w:val="24"/>
          <w:szCs w:val="24"/>
        </w:rPr>
        <w:t>il ya l</w:t>
      </w:r>
      <w:r w:rsidRPr="0034540D">
        <w:rPr>
          <w:rFonts w:ascii="Times New Roman" w:eastAsia="Times New Roman" w:hAnsi="Times New Roman" w:cs="Times New Roman"/>
          <w:color w:val="353535"/>
          <w:sz w:val="24"/>
          <w:szCs w:val="24"/>
          <w:lang w:eastAsia="fr-FR"/>
        </w:rPr>
        <w:t>es interdictions professionnelles temporaires</w:t>
      </w:r>
      <w:r w:rsidRPr="0034540D">
        <w:rPr>
          <w:rStyle w:val="Appelnotedebasdep"/>
          <w:rFonts w:ascii="Times New Roman" w:eastAsia="Times New Roman" w:hAnsi="Times New Roman" w:cs="Times New Roman"/>
          <w:color w:val="353535"/>
          <w:sz w:val="24"/>
          <w:szCs w:val="24"/>
          <w:lang w:eastAsia="fr-FR"/>
        </w:rPr>
        <w:footnoteReference w:id="42"/>
      </w:r>
      <w:r w:rsidRPr="0034540D">
        <w:rPr>
          <w:rFonts w:ascii="Times New Roman" w:eastAsia="Times New Roman" w:hAnsi="Times New Roman" w:cs="Times New Roman"/>
          <w:color w:val="353535"/>
          <w:sz w:val="24"/>
          <w:szCs w:val="24"/>
          <w:lang w:eastAsia="fr-FR"/>
        </w:rPr>
        <w:t xml:space="preserve"> ou définitives</w:t>
      </w:r>
      <w:r w:rsidRPr="0034540D">
        <w:rPr>
          <w:rStyle w:val="Appelnotedebasdep"/>
          <w:rFonts w:ascii="Times New Roman" w:eastAsia="Times New Roman" w:hAnsi="Times New Roman" w:cs="Times New Roman"/>
          <w:color w:val="353535"/>
          <w:sz w:val="24"/>
          <w:szCs w:val="24"/>
          <w:lang w:eastAsia="fr-FR"/>
        </w:rPr>
        <w:footnoteReference w:id="43"/>
      </w:r>
      <w:r w:rsidRPr="0034540D">
        <w:rPr>
          <w:rFonts w:ascii="Times New Roman" w:eastAsia="Times New Roman" w:hAnsi="Times New Roman" w:cs="Times New Roman"/>
          <w:color w:val="353535"/>
          <w:sz w:val="24"/>
          <w:szCs w:val="24"/>
          <w:lang w:eastAsia="fr-FR"/>
        </w:rPr>
        <w:t xml:space="preserve">  de plein droit.  A </w:t>
      </w:r>
      <w:r w:rsidRPr="0034540D">
        <w:rPr>
          <w:rFonts w:ascii="Times New Roman" w:eastAsia="Times New Roman" w:hAnsi="Times New Roman" w:cs="Times New Roman"/>
          <w:color w:val="353535"/>
          <w:sz w:val="24"/>
          <w:szCs w:val="24"/>
          <w:lang w:eastAsia="fr-FR"/>
        </w:rPr>
        <w:lastRenderedPageBreak/>
        <w:t>la lecture des dispositions les prévoyant, l’on déduit qu’il s’agit là  manifestement d’une interdiction professionnelle personnelle</w:t>
      </w:r>
      <w:r w:rsidR="00CD64B2" w:rsidRPr="0034540D">
        <w:rPr>
          <w:rFonts w:ascii="Times New Roman" w:eastAsia="Times New Roman" w:hAnsi="Times New Roman" w:cs="Times New Roman"/>
          <w:color w:val="353535"/>
          <w:sz w:val="24"/>
          <w:szCs w:val="24"/>
          <w:lang w:eastAsia="fr-FR"/>
        </w:rPr>
        <w:t xml:space="preserve"> et que leur </w:t>
      </w:r>
      <w:r w:rsidRPr="0034540D">
        <w:rPr>
          <w:rFonts w:ascii="Times New Roman" w:eastAsia="Times New Roman" w:hAnsi="Times New Roman" w:cs="Times New Roman"/>
          <w:color w:val="353535"/>
          <w:sz w:val="24"/>
          <w:szCs w:val="24"/>
          <w:lang w:eastAsia="fr-FR"/>
        </w:rPr>
        <w:t xml:space="preserve">violation </w:t>
      </w:r>
      <w:r w:rsidR="00CD64B2" w:rsidRPr="0034540D">
        <w:rPr>
          <w:rFonts w:ascii="Times New Roman" w:eastAsia="Times New Roman" w:hAnsi="Times New Roman" w:cs="Times New Roman"/>
          <w:color w:val="353535"/>
          <w:sz w:val="24"/>
          <w:szCs w:val="24"/>
          <w:lang w:eastAsia="fr-FR"/>
        </w:rPr>
        <w:t xml:space="preserve">est même </w:t>
      </w:r>
      <w:r w:rsidRPr="0034540D">
        <w:rPr>
          <w:rFonts w:ascii="Times New Roman" w:eastAsia="Times New Roman" w:hAnsi="Times New Roman" w:cs="Times New Roman"/>
          <w:color w:val="353535"/>
          <w:sz w:val="24"/>
          <w:szCs w:val="24"/>
          <w:lang w:eastAsia="fr-FR"/>
        </w:rPr>
        <w:t>sanctionnée.  En effet, l’article 28 de la loi sus nommée a prévu une peine d’</w:t>
      </w:r>
      <w:r w:rsidRPr="0034540D">
        <w:rPr>
          <w:rFonts w:ascii="Times New Roman" w:hAnsi="Times New Roman" w:cs="Times New Roman"/>
          <w:sz w:val="24"/>
          <w:szCs w:val="24"/>
        </w:rPr>
        <w:t xml:space="preserve"> emprisonnement d’un (1) an à cinq (5) ans et d’une amende d’un million (1.000.000) à dix millions (10.000.000) de francs CFA ou de l’une de ces deux peines pour toute personne physique qui contrevient à cette interdiction. </w:t>
      </w:r>
    </w:p>
    <w:p w:rsidR="00DA2AE2" w:rsidRPr="0034540D" w:rsidRDefault="00DA2AE2" w:rsidP="001E5084">
      <w:pPr>
        <w:pStyle w:val="Paragraphedeliste"/>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Il n’est pas sans intérêt de noter que l’application des ces peines accessoires ne fait pas obstacle à l’application des peines accessoires prévues pour les délits de droit commun.</w:t>
      </w:r>
    </w:p>
    <w:p w:rsidR="00DA2AE2" w:rsidRPr="0034540D" w:rsidRDefault="00DA2AE2" w:rsidP="001E5084">
      <w:pPr>
        <w:pStyle w:val="Paragraphedeliste"/>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De même </w:t>
      </w:r>
      <w:r w:rsidR="00CD64B2" w:rsidRPr="0034540D">
        <w:rPr>
          <w:rFonts w:ascii="Times New Roman" w:hAnsi="Times New Roman" w:cs="Times New Roman"/>
          <w:sz w:val="24"/>
          <w:szCs w:val="24"/>
        </w:rPr>
        <w:t>lorsqu’une personne physique</w:t>
      </w:r>
      <w:r w:rsidRPr="0034540D">
        <w:rPr>
          <w:rFonts w:ascii="Times New Roman" w:hAnsi="Times New Roman" w:cs="Times New Roman"/>
          <w:sz w:val="24"/>
          <w:szCs w:val="24"/>
        </w:rPr>
        <w:t xml:space="preserve"> commet à nouveau une nouvelle  infraction à la réglementation des changes dans les cinq (05) ans qui suivent une transaction ou une condamnation devenue définitive, le quantum de la peine encourue est porté au double. </w:t>
      </w:r>
    </w:p>
    <w:p w:rsidR="00DA2AE2" w:rsidRPr="0034540D" w:rsidRDefault="00CD64B2" w:rsidP="001E5084">
      <w:pPr>
        <w:pStyle w:val="Paragraphedeliste"/>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En outre en cas </w:t>
      </w:r>
      <w:r w:rsidR="00DA2AE2" w:rsidRPr="0034540D">
        <w:rPr>
          <w:rFonts w:ascii="Times New Roman" w:hAnsi="Times New Roman" w:cs="Times New Roman"/>
          <w:sz w:val="24"/>
          <w:szCs w:val="24"/>
        </w:rPr>
        <w:t xml:space="preserve"> de pluralité d’infractions à</w:t>
      </w:r>
      <w:r w:rsidR="00F261F4" w:rsidRPr="0034540D">
        <w:rPr>
          <w:rFonts w:ascii="Times New Roman" w:hAnsi="Times New Roman" w:cs="Times New Roman"/>
          <w:sz w:val="24"/>
          <w:szCs w:val="24"/>
        </w:rPr>
        <w:t xml:space="preserve"> la réglementation des changes , </w:t>
      </w:r>
      <w:r w:rsidR="00DA2AE2" w:rsidRPr="0034540D">
        <w:rPr>
          <w:rFonts w:ascii="Times New Roman" w:hAnsi="Times New Roman" w:cs="Times New Roman"/>
          <w:sz w:val="24"/>
          <w:szCs w:val="24"/>
        </w:rPr>
        <w:t xml:space="preserve">toutes les confiscations et autres condamnations sont prononcées pour chacune des infractions  non nonobstant les autres. </w:t>
      </w:r>
    </w:p>
    <w:p w:rsidR="00DA2AE2" w:rsidRPr="0034540D" w:rsidRDefault="00F261F4" w:rsidP="001E5084">
      <w:pPr>
        <w:pStyle w:val="Paragraphedeliste"/>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sz w:val="24"/>
          <w:szCs w:val="24"/>
        </w:rPr>
        <w:t>En matière</w:t>
      </w:r>
      <w:r w:rsidR="00CD64B2" w:rsidRPr="0034540D">
        <w:rPr>
          <w:rFonts w:ascii="Times New Roman" w:hAnsi="Times New Roman" w:cs="Times New Roman"/>
          <w:sz w:val="24"/>
          <w:szCs w:val="24"/>
        </w:rPr>
        <w:t xml:space="preserve">  de rapatriement </w:t>
      </w:r>
      <w:r w:rsidRPr="0034540D">
        <w:rPr>
          <w:rFonts w:ascii="Times New Roman" w:hAnsi="Times New Roman" w:cs="Times New Roman"/>
          <w:sz w:val="24"/>
          <w:szCs w:val="24"/>
        </w:rPr>
        <w:t xml:space="preserve"> du produit des recettes d’exportation, </w:t>
      </w:r>
      <w:r w:rsidR="00CD64B2" w:rsidRPr="0034540D">
        <w:rPr>
          <w:rFonts w:ascii="Times New Roman" w:hAnsi="Times New Roman" w:cs="Times New Roman"/>
          <w:sz w:val="24"/>
          <w:szCs w:val="24"/>
        </w:rPr>
        <w:t>t</w:t>
      </w:r>
      <w:r w:rsidR="00DA2AE2" w:rsidRPr="0034540D">
        <w:rPr>
          <w:rFonts w:ascii="Times New Roman" w:hAnsi="Times New Roman" w:cs="Times New Roman"/>
          <w:sz w:val="24"/>
          <w:szCs w:val="24"/>
        </w:rPr>
        <w:t>oute personne physique, qui n’a pas procédé au</w:t>
      </w:r>
      <w:r w:rsidRPr="0034540D">
        <w:rPr>
          <w:rFonts w:ascii="Times New Roman" w:hAnsi="Times New Roman" w:cs="Times New Roman"/>
          <w:sz w:val="24"/>
          <w:szCs w:val="24"/>
        </w:rPr>
        <w:t>dit</w:t>
      </w:r>
      <w:r w:rsidR="00CD64B2" w:rsidRPr="0034540D">
        <w:rPr>
          <w:rFonts w:ascii="Times New Roman" w:hAnsi="Times New Roman" w:cs="Times New Roman"/>
          <w:sz w:val="24"/>
          <w:szCs w:val="24"/>
        </w:rPr>
        <w:t xml:space="preserve"> </w:t>
      </w:r>
      <w:r w:rsidRPr="0034540D">
        <w:rPr>
          <w:rFonts w:ascii="Times New Roman" w:hAnsi="Times New Roman" w:cs="Times New Roman"/>
          <w:sz w:val="24"/>
          <w:szCs w:val="24"/>
        </w:rPr>
        <w:t>rapatriement</w:t>
      </w:r>
      <w:r w:rsidR="00DA2AE2" w:rsidRPr="0034540D">
        <w:rPr>
          <w:rFonts w:ascii="Times New Roman" w:hAnsi="Times New Roman" w:cs="Times New Roman"/>
          <w:sz w:val="24"/>
          <w:szCs w:val="24"/>
        </w:rPr>
        <w:t xml:space="preserve">, est punie d’une amende dont le minimum est égal au montant de la somme ou de la valeur sur laquelle a porté l’infraction ou la tentative d’infraction et le maximum au double du montant de ladite somme ou valeur. </w:t>
      </w:r>
    </w:p>
    <w:p w:rsidR="00DA2AE2" w:rsidRPr="0034540D" w:rsidRDefault="00F261F4" w:rsidP="001E5084">
      <w:pPr>
        <w:pStyle w:val="Paragraphedeliste"/>
        <w:numPr>
          <w:ilvl w:val="0"/>
          <w:numId w:val="16"/>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Les peines infligées a</w:t>
      </w:r>
      <w:r w:rsidR="00DA2AE2" w:rsidRPr="0034540D">
        <w:rPr>
          <w:rFonts w:ascii="Times New Roman" w:hAnsi="Times New Roman" w:cs="Times New Roman"/>
          <w:b/>
          <w:sz w:val="24"/>
          <w:szCs w:val="24"/>
        </w:rPr>
        <w:t xml:space="preserve">ux personnes morales autres que les établissements de crédit </w:t>
      </w:r>
    </w:p>
    <w:p w:rsidR="00DA2AE2" w:rsidRPr="0034540D" w:rsidRDefault="00DA2AE2" w:rsidP="001E5084">
      <w:pPr>
        <w:pStyle w:val="Paragraphedeliste"/>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Les personnes morales autres que les établissements de crédit de même que leurs représentants ou organes   ont passibles de diverses sanctions. </w:t>
      </w:r>
      <w:r w:rsidR="00F261F4" w:rsidRPr="0034540D">
        <w:rPr>
          <w:rFonts w:ascii="Times New Roman" w:hAnsi="Times New Roman" w:cs="Times New Roman"/>
          <w:sz w:val="24"/>
          <w:szCs w:val="24"/>
        </w:rPr>
        <w:t>Ainsi l</w:t>
      </w:r>
      <w:r w:rsidRPr="0034540D">
        <w:rPr>
          <w:rFonts w:ascii="Times New Roman" w:hAnsi="Times New Roman" w:cs="Times New Roman"/>
          <w:sz w:val="24"/>
          <w:szCs w:val="24"/>
        </w:rPr>
        <w:t xml:space="preserve">es personnes morales qui auraient bénéficié ou profité d’une infraction à la législation  des changes commise par l’un de ses représentants ou organes  sont punies d’une amende dont le montant minimum correspond à la somme ou valeur sur laquelle a porté l’infraction et dont le maximum est le quintuple de </w:t>
      </w:r>
      <w:r w:rsidRPr="0034540D">
        <w:rPr>
          <w:rFonts w:ascii="Times New Roman" w:hAnsi="Times New Roman" w:cs="Times New Roman"/>
          <w:sz w:val="24"/>
          <w:szCs w:val="24"/>
        </w:rPr>
        <w:lastRenderedPageBreak/>
        <w:t>ladite somme ou de ladite valeur punies d’une amende  sous réserve des dispositions des articles 45 et 46 la loi 2014-12</w:t>
      </w:r>
      <w:r w:rsidR="00D02209" w:rsidRPr="0034540D">
        <w:rPr>
          <w:rFonts w:ascii="Times New Roman" w:hAnsi="Times New Roman" w:cs="Times New Roman"/>
          <w:sz w:val="24"/>
          <w:szCs w:val="24"/>
        </w:rPr>
        <w:t xml:space="preserve"> du </w:t>
      </w:r>
      <w:r w:rsidR="00D02209" w:rsidRPr="0034540D">
        <w:rPr>
          <w:rFonts w:ascii="Times New Roman" w:hAnsi="Times New Roman" w:cs="Times New Roman"/>
          <w:bCs/>
          <w:sz w:val="24"/>
          <w:szCs w:val="24"/>
        </w:rPr>
        <w:t>28 février 2014  sur le contentieux des infractions à la réglementation des relations financières  extérieures  des Etats membres de l’Union Economique et Monétaire  Ouest Africaine (UEMOA)</w:t>
      </w:r>
      <w:r w:rsidRPr="0034540D">
        <w:rPr>
          <w:rFonts w:ascii="Times New Roman" w:hAnsi="Times New Roman" w:cs="Times New Roman"/>
          <w:sz w:val="24"/>
          <w:szCs w:val="24"/>
        </w:rPr>
        <w:t xml:space="preserve">. </w:t>
      </w:r>
    </w:p>
    <w:p w:rsidR="00DA2AE2" w:rsidRPr="0034540D" w:rsidRDefault="00DA2AE2" w:rsidP="001E5084">
      <w:pPr>
        <w:pStyle w:val="Paragraphedeliste"/>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En outre, ces personnes sont punies d’une amende de cinq millions (5.000.000) à cinquante millions (50.000.000) de francs, lorsque, pour son compte ou à son profit, l’un de ses représentants ou organes ont incité par écrit, par conseil, par propagande ou par publicité en vue de commettre une infraction à la législation  des changes. </w:t>
      </w:r>
    </w:p>
    <w:p w:rsidR="00DA2AE2" w:rsidRPr="0034540D" w:rsidRDefault="00D02209" w:rsidP="001E5084">
      <w:pPr>
        <w:tabs>
          <w:tab w:val="left" w:pos="142"/>
          <w:tab w:val="left" w:pos="567"/>
          <w:tab w:val="left" w:pos="709"/>
        </w:tabs>
        <w:autoSpaceDE w:val="0"/>
        <w:autoSpaceDN w:val="0"/>
        <w:adjustRightInd w:val="0"/>
        <w:spacing w:after="0" w:line="360" w:lineRule="auto"/>
        <w:ind w:left="426"/>
        <w:jc w:val="both"/>
        <w:rPr>
          <w:rFonts w:ascii="Times New Roman" w:hAnsi="Times New Roman" w:cs="Times New Roman"/>
          <w:sz w:val="24"/>
          <w:szCs w:val="24"/>
        </w:rPr>
      </w:pPr>
      <w:r w:rsidRPr="0034540D">
        <w:rPr>
          <w:rFonts w:ascii="Times New Roman" w:hAnsi="Times New Roman" w:cs="Times New Roman"/>
          <w:sz w:val="24"/>
          <w:szCs w:val="24"/>
        </w:rPr>
        <w:t xml:space="preserve">        </w:t>
      </w:r>
      <w:r w:rsidR="00DA2AE2" w:rsidRPr="0034540D">
        <w:rPr>
          <w:rFonts w:ascii="Times New Roman" w:hAnsi="Times New Roman" w:cs="Times New Roman"/>
          <w:sz w:val="24"/>
          <w:szCs w:val="24"/>
        </w:rPr>
        <w:t xml:space="preserve">Nonobstant les sanctions infligées à ces personnes morales, il a été </w:t>
      </w:r>
      <w:r w:rsidRPr="0034540D">
        <w:rPr>
          <w:rFonts w:ascii="Times New Roman" w:hAnsi="Times New Roman" w:cs="Times New Roman"/>
          <w:sz w:val="24"/>
          <w:szCs w:val="24"/>
        </w:rPr>
        <w:t xml:space="preserve">                         </w:t>
      </w:r>
      <w:r w:rsidR="00DA2AE2" w:rsidRPr="0034540D">
        <w:rPr>
          <w:rFonts w:ascii="Times New Roman" w:hAnsi="Times New Roman" w:cs="Times New Roman"/>
          <w:sz w:val="24"/>
          <w:szCs w:val="24"/>
        </w:rPr>
        <w:t>retenu que  leurs organes ou représentants,  s’ils se  sont rendues coupables ou complices d’une infraction à la réglementation des  changes  sont punies d’une peine d’emprisonnement d’un (01) an à cinq (05) ans et d’une  amende dont le montant minimum correspond à la somme ou valeur sur laquelle a porté l’infraction et, dont le maximum, est le quintuple de ladite somme ou de ladite valeur. En  sus, ils seront  punis d’un emprisonnement d’un (1) an à cinq (5) ans et d’une amende de cinq millions (5.000.000) à cinquante millions (50.000.000) de francs,  s’ils se sont rendues coupables d’incitation par écrit, par conseil, par propagande ou par publicité, à la commission d’une infraction à la réglementation des changes, que cette incitation ait ou non été suivie d’effet, qu’elle ait été émise ou reçue sur le territoire national ou à l’étranger. Les personnes morales concernées sont de plein droit interdites pour une durée de cinq(05) d’exercer  les fonctions d’agent de change et l’activité d’intermédiaire en bourse</w:t>
      </w:r>
      <w:r w:rsidR="00DA2AE2" w:rsidRPr="0034540D">
        <w:rPr>
          <w:rStyle w:val="Appelnotedebasdep"/>
          <w:rFonts w:ascii="Times New Roman" w:hAnsi="Times New Roman" w:cs="Times New Roman"/>
          <w:sz w:val="24"/>
          <w:szCs w:val="24"/>
        </w:rPr>
        <w:footnoteReference w:id="44"/>
      </w:r>
      <w:r w:rsidR="00DA2AE2" w:rsidRPr="0034540D">
        <w:rPr>
          <w:rFonts w:ascii="Times New Roman" w:hAnsi="Times New Roman" w:cs="Times New Roman"/>
          <w:sz w:val="24"/>
          <w:szCs w:val="24"/>
        </w:rPr>
        <w:t xml:space="preserve"> lorsqu’elles ont fait l’objet de condamnation. En outre, elles sont interdites de façon définitive et de plein droit de  diriger, d’administrer ou de gérer un établissement de crédit ou une de ses agences ; d’exercer l’une des activités des établissements de crédit, de proposer au public la création d’un établissement de crédit, de prendre des participations dans le capital d’un  établissement de crédit.</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lastRenderedPageBreak/>
        <w:t>La violation de ces interdictions est sanctionnée par une peine d’amende en sus d’une peine d’ emprisonnement d’un (1) an à cinq (5) ans et d’une amende d’un million (1.000.000) à dix millions (10.000.000) de francs CFA ou de l’une de ces deux peines pour ses représentants  auteurs ou complices des mêmes faits, le cas échéant.</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En  cas d’inexécution de l’obligation de rapatriement par l’un des organes ou représentants  des personnes morales sus visées et pour son compte ou à son bénéfice, celles-ci sont punies  d’une amende dont le minimum est égal au montant de la somme ou de la valeur sur laquelle a porté l’infraction ou la tentative d’infraction, et le maximum au double</w:t>
      </w:r>
      <w:r w:rsidR="00CD64B2" w:rsidRPr="0034540D">
        <w:rPr>
          <w:rFonts w:ascii="Times New Roman" w:hAnsi="Times New Roman" w:cs="Times New Roman"/>
          <w:sz w:val="24"/>
          <w:szCs w:val="24"/>
        </w:rPr>
        <w:t xml:space="preserve"> </w:t>
      </w:r>
      <w:r w:rsidRPr="0034540D">
        <w:rPr>
          <w:rFonts w:ascii="Times New Roman" w:hAnsi="Times New Roman" w:cs="Times New Roman"/>
          <w:sz w:val="24"/>
          <w:szCs w:val="24"/>
        </w:rPr>
        <w:t>du montant de ladite somme ou de ladite valeur, sans préjudice de la sanction prévue  pour ses représentants auteurs ou complices des mêmes faits.</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b/>
          <w:sz w:val="24"/>
          <w:szCs w:val="24"/>
        </w:rPr>
      </w:pPr>
      <w:r w:rsidRPr="0034540D">
        <w:rPr>
          <w:rFonts w:ascii="Times New Roman" w:hAnsi="Times New Roman" w:cs="Times New Roman"/>
          <w:sz w:val="24"/>
          <w:szCs w:val="24"/>
        </w:rPr>
        <w:t>Les mêmes sanctions</w:t>
      </w:r>
      <w:r w:rsidRPr="0034540D">
        <w:rPr>
          <w:rStyle w:val="Appelnotedebasdep"/>
          <w:rFonts w:ascii="Times New Roman" w:hAnsi="Times New Roman" w:cs="Times New Roman"/>
          <w:sz w:val="24"/>
          <w:szCs w:val="24"/>
        </w:rPr>
        <w:footnoteReference w:id="45"/>
      </w:r>
      <w:r w:rsidRPr="0034540D">
        <w:rPr>
          <w:rFonts w:ascii="Times New Roman" w:hAnsi="Times New Roman" w:cs="Times New Roman"/>
          <w:sz w:val="24"/>
          <w:szCs w:val="24"/>
        </w:rPr>
        <w:t xml:space="preserve"> que celles encourues par les personnes physiques en cas de récidive o</w:t>
      </w:r>
      <w:r w:rsidR="00CD64B2" w:rsidRPr="0034540D">
        <w:rPr>
          <w:rFonts w:ascii="Times New Roman" w:hAnsi="Times New Roman" w:cs="Times New Roman"/>
          <w:sz w:val="24"/>
          <w:szCs w:val="24"/>
        </w:rPr>
        <w:t xml:space="preserve">u de concours d’infractions sont </w:t>
      </w:r>
      <w:r w:rsidRPr="0034540D">
        <w:rPr>
          <w:rFonts w:ascii="Times New Roman" w:hAnsi="Times New Roman" w:cs="Times New Roman"/>
          <w:sz w:val="24"/>
          <w:szCs w:val="24"/>
        </w:rPr>
        <w:t>applicables à ces personnes morales.</w:t>
      </w:r>
    </w:p>
    <w:p w:rsidR="00DA2AE2" w:rsidRPr="0034540D" w:rsidRDefault="00DA2AE2" w:rsidP="001E5084">
      <w:pPr>
        <w:pStyle w:val="Paragraphedeliste"/>
        <w:numPr>
          <w:ilvl w:val="0"/>
          <w:numId w:val="35"/>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Le jugement des infractions commises par </w:t>
      </w:r>
      <w:r w:rsidR="00D02209" w:rsidRPr="0034540D">
        <w:rPr>
          <w:rFonts w:ascii="Times New Roman" w:hAnsi="Times New Roman" w:cs="Times New Roman"/>
          <w:b/>
          <w:sz w:val="24"/>
          <w:szCs w:val="24"/>
        </w:rPr>
        <w:t>les établissements  de  crédit </w:t>
      </w:r>
      <w:r w:rsidRPr="0034540D">
        <w:rPr>
          <w:rFonts w:ascii="Times New Roman" w:hAnsi="Times New Roman" w:cs="Times New Roman"/>
          <w:b/>
          <w:sz w:val="24"/>
          <w:szCs w:val="24"/>
        </w:rPr>
        <w:t xml:space="preserve"> </w:t>
      </w:r>
    </w:p>
    <w:p w:rsidR="00EC1198" w:rsidRPr="0034540D" w:rsidRDefault="00EC1198" w:rsidP="001E5084">
      <w:pPr>
        <w:pStyle w:val="Paragraphedeliste"/>
        <w:tabs>
          <w:tab w:val="left" w:pos="142"/>
          <w:tab w:val="left" w:pos="567"/>
          <w:tab w:val="left" w:pos="709"/>
        </w:tabs>
        <w:spacing w:line="360" w:lineRule="auto"/>
        <w:ind w:left="0"/>
        <w:jc w:val="both"/>
        <w:rPr>
          <w:rFonts w:ascii="Times New Roman" w:hAnsi="Times New Roman" w:cs="Times New Roman"/>
          <w:sz w:val="24"/>
          <w:szCs w:val="24"/>
        </w:rPr>
      </w:pPr>
      <w:r w:rsidRPr="0034540D">
        <w:rPr>
          <w:rFonts w:ascii="Times New Roman" w:hAnsi="Times New Roman" w:cs="Times New Roman"/>
          <w:color w:val="333333"/>
          <w:sz w:val="24"/>
          <w:szCs w:val="24"/>
        </w:rPr>
        <w:t xml:space="preserve">Pour le </w:t>
      </w:r>
      <w:r w:rsidRPr="0034540D">
        <w:rPr>
          <w:rFonts w:ascii="Times New Roman" w:hAnsi="Times New Roman" w:cs="Times New Roman"/>
          <w:sz w:val="24"/>
          <w:szCs w:val="24"/>
        </w:rPr>
        <w:t>jugement des infractions à la législation  des changes commises par les établissements de crédit, il ya lieu de noter que ceux-ci, qui bénéficiaient d’une certaine spécificité en matière de poursuite, sont, au même tire que les autres justiciables, susceptibles d’être poursuivis devant le juge pénal.  Ceci s’explique aisément  dans la mesure où , les sanctions pénales prévues par la loi n°2008-28 portant loi bancaire dont renvoi est faite par la loi 2014-28 du 28 février 2014 sur le contentieux  relève évidemment de la compétence du juge pénal, juge chargé d’appliquer la loi pénale . En outre, la consécration par le législateur du principe de la responsabilité pénale des personnes morales</w:t>
      </w:r>
      <w:r w:rsidRPr="0034540D">
        <w:rPr>
          <w:rStyle w:val="Appelnotedebasdep"/>
          <w:rFonts w:ascii="Times New Roman" w:hAnsi="Times New Roman" w:cs="Times New Roman"/>
          <w:sz w:val="24"/>
          <w:szCs w:val="24"/>
        </w:rPr>
        <w:footnoteReference w:id="46"/>
      </w:r>
      <w:r w:rsidRPr="0034540D">
        <w:rPr>
          <w:rFonts w:ascii="Times New Roman" w:hAnsi="Times New Roman" w:cs="Times New Roman"/>
          <w:sz w:val="24"/>
          <w:szCs w:val="24"/>
        </w:rPr>
        <w:t xml:space="preserve"> à quelques exceptions  renforce le rôle du juge  pénal  dans la lutte contre les infractions  à la législation des changes  commises par les établissements de crédit. ainsi cerner ,il s’agira de déterminer la juridiction répressive  compétente, sa saisine et l’administration de la preuve. </w:t>
      </w:r>
    </w:p>
    <w:p w:rsidR="00EC1198" w:rsidRPr="0034540D" w:rsidRDefault="00EC1198" w:rsidP="001E5084">
      <w:pPr>
        <w:pStyle w:val="Paragraphedeliste"/>
        <w:tabs>
          <w:tab w:val="left" w:pos="142"/>
          <w:tab w:val="left" w:pos="567"/>
          <w:tab w:val="left" w:pos="709"/>
        </w:tabs>
        <w:rPr>
          <w:rFonts w:ascii="Times New Roman" w:hAnsi="Times New Roman" w:cs="Times New Roman"/>
          <w:sz w:val="24"/>
          <w:szCs w:val="24"/>
        </w:rPr>
      </w:pPr>
      <w:r w:rsidRPr="0034540D">
        <w:rPr>
          <w:rFonts w:ascii="Times New Roman" w:hAnsi="Times New Roman" w:cs="Times New Roman"/>
          <w:sz w:val="24"/>
          <w:szCs w:val="24"/>
        </w:rPr>
        <w:lastRenderedPageBreak/>
        <w:t xml:space="preserve"> </w:t>
      </w:r>
    </w:p>
    <w:p w:rsidR="00EC1198" w:rsidRPr="0034540D" w:rsidRDefault="00EC1198" w:rsidP="001E5084">
      <w:pPr>
        <w:pStyle w:val="Paragraphedeliste"/>
        <w:numPr>
          <w:ilvl w:val="0"/>
          <w:numId w:val="24"/>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La juridiction répressive compétente</w:t>
      </w:r>
    </w:p>
    <w:p w:rsidR="00EC1198" w:rsidRPr="0034540D" w:rsidRDefault="00EC1198"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Il  ressort  de la lecture de l’article 35 de la loi 2014-12 </w:t>
      </w:r>
      <w:r w:rsidR="00D02209" w:rsidRPr="0034540D">
        <w:rPr>
          <w:rFonts w:ascii="Times New Roman" w:hAnsi="Times New Roman" w:cs="Times New Roman"/>
          <w:sz w:val="24"/>
          <w:szCs w:val="24"/>
        </w:rPr>
        <w:t xml:space="preserve"> du </w:t>
      </w:r>
      <w:r w:rsidR="00D02209" w:rsidRPr="0034540D">
        <w:rPr>
          <w:rFonts w:ascii="Times New Roman" w:hAnsi="Times New Roman" w:cs="Times New Roman"/>
          <w:bCs/>
          <w:sz w:val="24"/>
          <w:szCs w:val="24"/>
        </w:rPr>
        <w:t xml:space="preserve">28 février 2014  sur le contentieux des infractions à la réglementation des relations financières  extérieures  des Etats membres de l’Union Economique et Monétaire  Ouest Africaine (UEMOA) </w:t>
      </w:r>
      <w:r w:rsidRPr="0034540D">
        <w:rPr>
          <w:rFonts w:ascii="Times New Roman" w:hAnsi="Times New Roman" w:cs="Times New Roman"/>
          <w:sz w:val="24"/>
          <w:szCs w:val="24"/>
        </w:rPr>
        <w:t xml:space="preserve">que les tribunaux correctionnels connaissent de toutes les poursuites pénales  pour infraction à la législation  des changes. Comme pour les personnes physiques et les autres personnes morales,   il est  compétent  pour  juger les infractions à la réglementation des changes commises par les établissements de crédit. </w:t>
      </w:r>
    </w:p>
    <w:p w:rsidR="0003050A" w:rsidRPr="0034540D" w:rsidRDefault="00EC1198" w:rsidP="001E5084">
      <w:pPr>
        <w:tabs>
          <w:tab w:val="left" w:pos="142"/>
          <w:tab w:val="left" w:pos="567"/>
          <w:tab w:val="left" w:pos="709"/>
        </w:tabs>
        <w:spacing w:line="360" w:lineRule="auto"/>
        <w:jc w:val="both"/>
        <w:rPr>
          <w:rFonts w:ascii="Times New Roman" w:hAnsi="Times New Roman" w:cs="Times New Roman"/>
          <w:bCs/>
          <w:sz w:val="24"/>
          <w:szCs w:val="24"/>
        </w:rPr>
      </w:pPr>
      <w:r w:rsidRPr="0034540D">
        <w:rPr>
          <w:rFonts w:ascii="Times New Roman" w:hAnsi="Times New Roman" w:cs="Times New Roman"/>
          <w:sz w:val="24"/>
          <w:szCs w:val="24"/>
        </w:rPr>
        <w:t>S’agissant de la compétence territoriale, il faut noter que la  juridiction correctionnelle  territorialement compétente  est celle du lieu de constatation de l’infraction lorsqu’un procès verbal de constat a été dressé conformément à l’article</w:t>
      </w:r>
      <w:r w:rsidR="0003050A" w:rsidRPr="0034540D">
        <w:rPr>
          <w:rFonts w:ascii="Times New Roman" w:hAnsi="Times New Roman" w:cs="Times New Roman"/>
          <w:sz w:val="24"/>
          <w:szCs w:val="24"/>
        </w:rPr>
        <w:t xml:space="preserve"> 35 de la</w:t>
      </w:r>
      <w:r w:rsidR="00920762" w:rsidRPr="0034540D">
        <w:rPr>
          <w:rFonts w:ascii="Times New Roman" w:hAnsi="Times New Roman" w:cs="Times New Roman"/>
          <w:sz w:val="24"/>
          <w:szCs w:val="24"/>
        </w:rPr>
        <w:t xml:space="preserve"> </w:t>
      </w:r>
      <w:r w:rsidR="0003050A" w:rsidRPr="0034540D">
        <w:rPr>
          <w:rFonts w:ascii="Times New Roman" w:hAnsi="Times New Roman" w:cs="Times New Roman"/>
          <w:sz w:val="24"/>
          <w:szCs w:val="24"/>
        </w:rPr>
        <w:t>loi 2014-12 du</w:t>
      </w:r>
      <w:r w:rsidR="0003050A" w:rsidRPr="0034540D">
        <w:rPr>
          <w:rFonts w:ascii="Times New Roman" w:hAnsi="Times New Roman" w:cs="Times New Roman"/>
          <w:bCs/>
          <w:sz w:val="24"/>
          <w:szCs w:val="24"/>
        </w:rPr>
        <w:t xml:space="preserve"> 28 février 2014</w:t>
      </w:r>
      <w:r w:rsidR="00920762" w:rsidRPr="0034540D">
        <w:rPr>
          <w:rFonts w:ascii="Times New Roman" w:hAnsi="Times New Roman" w:cs="Times New Roman"/>
          <w:bCs/>
          <w:sz w:val="24"/>
          <w:szCs w:val="24"/>
        </w:rPr>
        <w:t xml:space="preserve"> citée</w:t>
      </w:r>
      <w:r w:rsidR="0003050A" w:rsidRPr="0034540D">
        <w:rPr>
          <w:rFonts w:ascii="Times New Roman" w:hAnsi="Times New Roman" w:cs="Times New Roman"/>
          <w:bCs/>
          <w:sz w:val="24"/>
          <w:szCs w:val="24"/>
        </w:rPr>
        <w:t xml:space="preserve">.  </w:t>
      </w:r>
    </w:p>
    <w:p w:rsidR="00EC1198" w:rsidRPr="0034540D" w:rsidRDefault="00EC1198" w:rsidP="001E5084">
      <w:pPr>
        <w:pStyle w:val="Paragraphedeliste"/>
        <w:numPr>
          <w:ilvl w:val="0"/>
          <w:numId w:val="24"/>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La saisine de la juridiction répressive </w:t>
      </w:r>
    </w:p>
    <w:p w:rsidR="00EC1198" w:rsidRPr="0034540D" w:rsidRDefault="00EC1198" w:rsidP="001E5084">
      <w:pPr>
        <w:pStyle w:val="Paragraphedeliste"/>
        <w:tabs>
          <w:tab w:val="left" w:pos="142"/>
          <w:tab w:val="left" w:pos="567"/>
          <w:tab w:val="left" w:pos="709"/>
        </w:tabs>
        <w:spacing w:line="360" w:lineRule="auto"/>
        <w:ind w:left="0"/>
        <w:jc w:val="both"/>
        <w:rPr>
          <w:rFonts w:ascii="Times New Roman" w:hAnsi="Times New Roman" w:cs="Times New Roman"/>
          <w:sz w:val="24"/>
          <w:szCs w:val="24"/>
          <w:highlight w:val="yellow"/>
        </w:rPr>
      </w:pPr>
      <w:r w:rsidRPr="0034540D">
        <w:rPr>
          <w:rFonts w:ascii="Times New Roman" w:hAnsi="Times New Roman" w:cs="Times New Roman"/>
          <w:sz w:val="24"/>
          <w:szCs w:val="24"/>
        </w:rPr>
        <w:t>La juridiction de jugement  est saisie par les  procès  verbaux de constatant l’infraction à la législation  des changes commises par les établissement</w:t>
      </w:r>
      <w:r w:rsidR="0003050A" w:rsidRPr="0034540D">
        <w:rPr>
          <w:rFonts w:ascii="Times New Roman" w:hAnsi="Times New Roman" w:cs="Times New Roman"/>
          <w:sz w:val="24"/>
          <w:szCs w:val="24"/>
        </w:rPr>
        <w:t>s</w:t>
      </w:r>
      <w:r w:rsidRPr="0034540D">
        <w:rPr>
          <w:rFonts w:ascii="Times New Roman" w:hAnsi="Times New Roman" w:cs="Times New Roman"/>
          <w:sz w:val="24"/>
          <w:szCs w:val="24"/>
        </w:rPr>
        <w:t xml:space="preserve"> de crédit par les soins du Procureur de la République compétent saisi par l</w:t>
      </w:r>
      <w:r w:rsidR="0003050A" w:rsidRPr="0034540D">
        <w:rPr>
          <w:rFonts w:ascii="Times New Roman" w:hAnsi="Times New Roman" w:cs="Times New Roman"/>
          <w:sz w:val="24"/>
          <w:szCs w:val="24"/>
        </w:rPr>
        <w:t xml:space="preserve">e Ministre chargé des Finances. </w:t>
      </w:r>
      <w:r w:rsidR="00920762" w:rsidRPr="0034540D">
        <w:rPr>
          <w:rFonts w:ascii="Times New Roman" w:hAnsi="Times New Roman" w:cs="Times New Roman"/>
          <w:sz w:val="24"/>
          <w:szCs w:val="24"/>
        </w:rPr>
        <w:t>Celui-ci, peut être saisi</w:t>
      </w:r>
      <w:r w:rsidRPr="0034540D">
        <w:rPr>
          <w:rFonts w:ascii="Times New Roman" w:hAnsi="Times New Roman" w:cs="Times New Roman"/>
          <w:sz w:val="24"/>
          <w:szCs w:val="24"/>
        </w:rPr>
        <w:t xml:space="preserve"> </w:t>
      </w:r>
      <w:r w:rsidR="00920762" w:rsidRPr="0034540D">
        <w:rPr>
          <w:rFonts w:ascii="Times New Roman" w:hAnsi="Times New Roman" w:cs="Times New Roman"/>
          <w:sz w:val="24"/>
          <w:szCs w:val="24"/>
        </w:rPr>
        <w:t xml:space="preserve"> par les soins de la </w:t>
      </w:r>
      <w:r w:rsidRPr="0034540D">
        <w:rPr>
          <w:rFonts w:ascii="Times New Roman" w:hAnsi="Times New Roman" w:cs="Times New Roman"/>
          <w:sz w:val="24"/>
          <w:szCs w:val="24"/>
        </w:rPr>
        <w:t>BCEAO ou toutes autres personnes constatant desdites infractions</w:t>
      </w:r>
      <w:r w:rsidR="00920762" w:rsidRPr="0034540D">
        <w:rPr>
          <w:rFonts w:ascii="Times New Roman" w:hAnsi="Times New Roman" w:cs="Times New Roman"/>
          <w:sz w:val="24"/>
          <w:szCs w:val="24"/>
        </w:rPr>
        <w:t xml:space="preserve"> pour déposer plainte auprès du Procureur de la République  compétent</w:t>
      </w:r>
      <w:r w:rsidRPr="0034540D">
        <w:rPr>
          <w:rFonts w:ascii="Times New Roman" w:hAnsi="Times New Roman" w:cs="Times New Roman"/>
          <w:sz w:val="24"/>
          <w:szCs w:val="24"/>
        </w:rPr>
        <w:t xml:space="preserve">. </w:t>
      </w:r>
    </w:p>
    <w:p w:rsidR="00EC1198" w:rsidRPr="0034540D" w:rsidRDefault="00EC1198" w:rsidP="001E5084">
      <w:pPr>
        <w:pStyle w:val="Paragraphedeliste"/>
        <w:numPr>
          <w:ilvl w:val="0"/>
          <w:numId w:val="18"/>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En ce qui concerne les preuves de l’infraction </w:t>
      </w:r>
    </w:p>
    <w:p w:rsidR="00EC1198" w:rsidRPr="0034540D" w:rsidRDefault="00EC1198"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 Les  infractions en matière de changes commises par les établissements de crédit sont constatées par  procès verbaux de constat. Ces procès verbaux, relatent  les opérations des agents visés aux articles 6 et 11 de la loi 2014-12 du 28 février 2014  dans le cadre de leur mission  de vérification d’écritures et des investigations sur place et sur pièces. De même les agents habilités de la BCEAO peuvent se faire</w:t>
      </w:r>
      <w:r w:rsidR="00920762"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communiquer tous documents permettant d’établir l’existence de l’infraction. </w:t>
      </w:r>
      <w:r w:rsidR="00920762" w:rsidRPr="0034540D">
        <w:rPr>
          <w:rFonts w:ascii="Times New Roman" w:hAnsi="Times New Roman" w:cs="Times New Roman"/>
          <w:sz w:val="24"/>
          <w:szCs w:val="24"/>
        </w:rPr>
        <w:t>C’est dire que les infractions à la législation des changes commises par les établissements de crédits  doit être prouvées par procès verbal de constat.</w:t>
      </w:r>
    </w:p>
    <w:p w:rsidR="00EC1198" w:rsidRPr="0034540D" w:rsidRDefault="00EC1198"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La preuve contraire  des  constatations faites dans ces procès verbaux de constat  ne peut  être rapportée qu'au moyen de documents de date certaine antérieure à celle de l'enquête effectuée par les agents habilités.  </w:t>
      </w:r>
    </w:p>
    <w:p w:rsidR="00EC1198" w:rsidRPr="0034540D" w:rsidRDefault="00EC1198"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lastRenderedPageBreak/>
        <w:t xml:space="preserve">Ceci revient à dire que la force probante reconnue aux procès  verbaux de constat  surtout ceux établis par les agents de la BCEAO à l’occasion de leur missions de vérification auprès des établissements de crédit est à relativiser, dés lors  que la preuve contraire peut être apportée dans les conditions ci-dessus développées. </w:t>
      </w:r>
      <w:r w:rsidR="00920762" w:rsidRPr="0034540D">
        <w:rPr>
          <w:rFonts w:ascii="Times New Roman" w:hAnsi="Times New Roman" w:cs="Times New Roman"/>
          <w:sz w:val="24"/>
          <w:szCs w:val="24"/>
        </w:rPr>
        <w:t>Pour ceux établis par les autres agents habilités, ils font foi jusqu’à inscription  de faux pour les constatations matérielles constatées lorsqu’ils sont le fait de deux agents de</w:t>
      </w:r>
      <w:r w:rsidR="00020B43" w:rsidRPr="0034540D">
        <w:rPr>
          <w:rFonts w:ascii="Times New Roman" w:hAnsi="Times New Roman" w:cs="Times New Roman"/>
          <w:sz w:val="24"/>
          <w:szCs w:val="24"/>
        </w:rPr>
        <w:t xml:space="preserve"> douanes ou deux agents assermentés ou jusqu’à la preuve contraire lorsqu’ils sont établis par un seul </w:t>
      </w:r>
      <w:r w:rsidR="00020B43" w:rsidRPr="0034540D">
        <w:rPr>
          <w:rFonts w:ascii="Times New Roman" w:hAnsi="Times New Roman" w:cs="Times New Roman"/>
          <w:sz w:val="24"/>
          <w:szCs w:val="24"/>
        </w:rPr>
        <w:tab/>
        <w:t xml:space="preserve">agent habilité ou assermenté. </w:t>
      </w:r>
    </w:p>
    <w:p w:rsidR="00082C0B" w:rsidRPr="0034540D" w:rsidRDefault="00082C0B" w:rsidP="001E5084">
      <w:pPr>
        <w:pStyle w:val="Paragraphedeliste"/>
        <w:numPr>
          <w:ilvl w:val="0"/>
          <w:numId w:val="18"/>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Les peines infligées aux établissements de crédit</w:t>
      </w:r>
    </w:p>
    <w:p w:rsidR="00082C0B" w:rsidRPr="0034540D" w:rsidRDefault="00082C0B" w:rsidP="001E5084">
      <w:pPr>
        <w:pStyle w:val="Paragraphedeliste"/>
        <w:pBdr>
          <w:bottom w:val="single" w:sz="6" w:space="31" w:color="auto"/>
        </w:pBd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color w:val="333333"/>
          <w:sz w:val="24"/>
          <w:szCs w:val="24"/>
        </w:rPr>
        <w:t xml:space="preserve">En matière de change, pour des raisons liées à l’appartenance du Sénégal avec d’autres Etats à une union monétaire commune, pour la définition de la  répression des infractions commises par les établissements de crédit, un renvoi  a été fait par la loi 2014-12 à la </w:t>
      </w:r>
      <w:r w:rsidRPr="0034540D">
        <w:rPr>
          <w:rFonts w:ascii="Times New Roman" w:hAnsi="Times New Roman" w:cs="Times New Roman"/>
          <w:color w:val="FF0000"/>
          <w:sz w:val="24"/>
          <w:szCs w:val="24"/>
        </w:rPr>
        <w:t xml:space="preserve"> loi 2008-26 du 28 juillet 2008 portant règlement bancaire </w:t>
      </w:r>
      <w:r w:rsidRPr="0034540D">
        <w:rPr>
          <w:rFonts w:ascii="Times New Roman" w:hAnsi="Times New Roman" w:cs="Times New Roman"/>
          <w:color w:val="333333"/>
          <w:sz w:val="24"/>
          <w:szCs w:val="24"/>
        </w:rPr>
        <w:t>, même lorsque ces infractions sont constatées par les agents habilités cités aux articles 6 et 11 de la loi 2014-26</w:t>
      </w:r>
      <w:r w:rsidR="00020B43" w:rsidRPr="0034540D">
        <w:rPr>
          <w:rFonts w:ascii="Times New Roman" w:hAnsi="Times New Roman" w:cs="Times New Roman"/>
          <w:color w:val="333333"/>
          <w:sz w:val="24"/>
          <w:szCs w:val="24"/>
        </w:rPr>
        <w:t xml:space="preserve"> du </w:t>
      </w:r>
      <w:r w:rsidR="00020B43" w:rsidRPr="0034540D">
        <w:rPr>
          <w:rFonts w:ascii="Times New Roman" w:hAnsi="Times New Roman" w:cs="Times New Roman"/>
          <w:bCs/>
          <w:sz w:val="24"/>
          <w:szCs w:val="24"/>
        </w:rPr>
        <w:t>28 février 2014  sur le contentieux des infractions à la réglementation des relations financières  extérieures  des Etats membres de l’Union Economique et Monétaire  Ouest Africaine (UEMOA)</w:t>
      </w:r>
      <w:r w:rsidRPr="0034540D">
        <w:rPr>
          <w:rFonts w:ascii="Times New Roman" w:hAnsi="Times New Roman" w:cs="Times New Roman"/>
          <w:sz w:val="24"/>
          <w:szCs w:val="24"/>
        </w:rPr>
        <w:t xml:space="preserve">.  C’est dans cette optique que la loi bancaire contient des dispositions pénales prévoyant les sanctions pénales que doivent encourir les établissements de crédit  en cas de violation de la législation  sur les changes.  La sanction répressive étant réputée plus dissuasive que celle civile, Il est même prévu la possibilité  de combiner les deux sanctions, le juge pénal ayant également le pouvoir de prononcer des sanctions civiles Ainsi on distingue les peines principales et les peines accessoires selon les types d’infractions. </w:t>
      </w:r>
    </w:p>
    <w:p w:rsidR="00082C0B" w:rsidRPr="0034540D" w:rsidRDefault="00082C0B" w:rsidP="001E5084">
      <w:pPr>
        <w:pStyle w:val="Paragraphedeliste"/>
        <w:pBdr>
          <w:bottom w:val="single" w:sz="6" w:space="31" w:color="auto"/>
        </w:pBd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 Ainsi, en  matière  de  l’obligation de  rapatriement du produit des recettes d’exportation par les établissements de crédit conformément à la législation  des changes,  la sanction prévues en cas d’inexécution est la réquisition faite à l’établissement par la Banque centrale de  constituer auprès d’elle un dépôt non rémunéré  correspondant au montant non rapatrié en application de l’article 76 de la loi portant règlement bancaire. De même, si un retard  a été constaté dans </w:t>
      </w:r>
      <w:r w:rsidRPr="0034540D">
        <w:rPr>
          <w:rFonts w:ascii="Times New Roman" w:hAnsi="Times New Roman" w:cs="Times New Roman"/>
          <w:sz w:val="24"/>
          <w:szCs w:val="24"/>
        </w:rPr>
        <w:lastRenderedPageBreak/>
        <w:t>la constitution, ils seront tenus envers la BCEAO d’un intérêt moratoire</w:t>
      </w:r>
      <w:r w:rsidRPr="0034540D">
        <w:rPr>
          <w:rStyle w:val="Appelnotedebasdep"/>
          <w:rFonts w:ascii="Times New Roman" w:hAnsi="Times New Roman" w:cs="Times New Roman"/>
          <w:sz w:val="24"/>
          <w:szCs w:val="24"/>
        </w:rPr>
        <w:footnoteReference w:id="47"/>
      </w:r>
      <w:r w:rsidRPr="0034540D">
        <w:rPr>
          <w:rFonts w:ascii="Times New Roman" w:hAnsi="Times New Roman" w:cs="Times New Roman"/>
          <w:sz w:val="24"/>
          <w:szCs w:val="24"/>
        </w:rPr>
        <w:t xml:space="preserve">  de maximum un (1%) pour cent par jour de retard. En outre la Commission Bancaire peut prononcer des sanctions disciplinaires dont le montant est fixé par instruction en sus des sanctions disciplinaires.   </w:t>
      </w:r>
    </w:p>
    <w:p w:rsidR="000A33F2" w:rsidRPr="0034540D" w:rsidRDefault="00082C0B" w:rsidP="001E5084">
      <w:pPr>
        <w:pStyle w:val="Paragraphedeliste"/>
        <w:pBdr>
          <w:bottom w:val="single" w:sz="6" w:space="31" w:color="auto"/>
        </w:pBd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 En  matière d’inexécution de l’obligation de déclaration, d’inobservation des procédures, aux formalités et aux autorisations requises, les établissements de crédit  seront sanctionnés par la constitution, auprès de la Banque Centrale, d’un dépôt non rémunéré conformément à l’article 80 de ladite loi. La durée dudit dépôt sera au plus égale à un (1) mois et son montant ne pourra excéder deux cent pour cent (200 %) du montant des opérations sur lesquelles portent les manquements constatés. En cas de retard dans la constitution de ce dépôt, ils seront tenus envers la BCEAO d’un intérêt moratoire  de maximum un (1%) pour cent par jour de retard. La Banque Centrale peut prononcer, en plus sus une sanction pécuniaire, dont le niveau sera au plus égal au montant de l’opération sur laquelle a porté l’irrégularité. Les sommes correspondantes sont recouvrées pour le compte du Trésor public.</w:t>
      </w:r>
      <w:r w:rsidR="000A33F2" w:rsidRPr="0034540D">
        <w:rPr>
          <w:rFonts w:ascii="Times New Roman" w:hAnsi="Times New Roman" w:cs="Times New Roman"/>
          <w:sz w:val="24"/>
          <w:szCs w:val="24"/>
        </w:rPr>
        <w:t xml:space="preserve"> </w:t>
      </w:r>
    </w:p>
    <w:p w:rsidR="000A33F2" w:rsidRPr="0034540D" w:rsidRDefault="00D02209" w:rsidP="001E5084">
      <w:pPr>
        <w:pStyle w:val="Paragraphedeliste"/>
        <w:pBdr>
          <w:bottom w:val="single" w:sz="6" w:space="31" w:color="auto"/>
        </w:pBd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En cas de récidive, les établissements de crédit, dans les cinq (05) ans qui suivent une transaction ou une condamnation devenue définitive, le quantum de la peine encourue est porté au double.</w:t>
      </w:r>
      <w:r w:rsidR="000A33F2" w:rsidRPr="0034540D">
        <w:rPr>
          <w:rFonts w:ascii="Times New Roman" w:hAnsi="Times New Roman" w:cs="Times New Roman"/>
          <w:sz w:val="24"/>
          <w:szCs w:val="24"/>
        </w:rPr>
        <w:t xml:space="preserve"> En cas de pluralité d’infractions à la réglementation des changes commises par l’établissement de crédit ,  les confiscations et autres condamnations pécuniaires sont prononcées pour chacune des infractions dûment établies, sans préjudice des pénalités encourues pour d’autres infractions.</w:t>
      </w:r>
    </w:p>
    <w:p w:rsidR="000A33F2" w:rsidRPr="0034540D" w:rsidRDefault="00082C0B" w:rsidP="001E5084">
      <w:pPr>
        <w:pStyle w:val="Paragraphedeliste"/>
        <w:pBdr>
          <w:bottom w:val="single" w:sz="6" w:space="31" w:color="auto"/>
        </w:pBd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Les membres des organes ou représentants  d’établissements de crédit peuvent  également été condamnés pour diverses infractions dont ils se seraient rendus coupables ou complices.    C’est le cas en cas de violation de la réglementation des changes notamment de l’inexécution de l’obligation de déclaration ou de rapatriement,  de l’inobservation des procédures et formalités ou justificatifs exigés, les personnes  physiques, membres ou représentants de l’établissement de crédit  reconnues coupables  ou complices de telles  infractions,   sont </w:t>
      </w:r>
      <w:r w:rsidRPr="0034540D">
        <w:rPr>
          <w:rFonts w:ascii="Times New Roman" w:hAnsi="Times New Roman" w:cs="Times New Roman"/>
          <w:sz w:val="24"/>
          <w:szCs w:val="24"/>
        </w:rPr>
        <w:lastRenderedPageBreak/>
        <w:t xml:space="preserve">punies d’une peine d’emprisonnement d’un (01) an à cinq (05) ans et d’une amende dont le montant minimum correspond à la somme ou valeur sur laquelle a porté l’infraction et, dont le maximum, est le quintuple de ladite somme ou de ladite valeur. Les mêmes peines seront applicables si elles sont reconnues pour la tentative.  </w:t>
      </w:r>
      <w:r w:rsidR="00020B43" w:rsidRPr="0034540D">
        <w:rPr>
          <w:rFonts w:ascii="Times New Roman" w:hAnsi="Times New Roman" w:cs="Times New Roman"/>
          <w:sz w:val="24"/>
          <w:szCs w:val="24"/>
        </w:rPr>
        <w:t>En outre</w:t>
      </w:r>
      <w:r w:rsidRPr="0034540D">
        <w:rPr>
          <w:rFonts w:ascii="Times New Roman" w:hAnsi="Times New Roman" w:cs="Times New Roman"/>
          <w:sz w:val="24"/>
          <w:szCs w:val="24"/>
        </w:rPr>
        <w:t xml:space="preserve">,  lorsque l’un des organes ou membres de l’établissement de crédit est reconnu auteur ou complice d’incitation par écrit, par conseil, par propagande ou par publicité, à la commission d’une infraction à la réglementation des changes, que cette incitation ait ou non été suivie d’effet, qu’elle ait été émise ou reçue sur le territoire national ou à l’étranger pour le compte ou au bénéfice de celui-ci,  il sera  puni d’un emprisonnement d’un (1) an à cinq (5) ans et d’une amende de cinq millions (5.000.000) à cinquante millions (50.000.000) de francs. </w:t>
      </w:r>
    </w:p>
    <w:p w:rsidR="000A33F2" w:rsidRPr="0034540D" w:rsidRDefault="000A33F2" w:rsidP="001E5084">
      <w:pPr>
        <w:pStyle w:val="Paragraphedeliste"/>
        <w:pBdr>
          <w:bottom w:val="single" w:sz="6" w:space="31" w:color="auto"/>
        </w:pBd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Ce</w:t>
      </w:r>
      <w:r w:rsidR="00082C0B" w:rsidRPr="0034540D">
        <w:rPr>
          <w:rFonts w:ascii="Times New Roman" w:hAnsi="Times New Roman" w:cs="Times New Roman"/>
          <w:sz w:val="24"/>
          <w:szCs w:val="24"/>
        </w:rPr>
        <w:t>s membres ou représentants de l’établissement de crédit  concernés sont de plein droit interdites pour une durée de cinq(05) d’exercer  les fonctions d’agent de change , d’intermédiaire en bourse</w:t>
      </w:r>
      <w:r w:rsidR="00082C0B" w:rsidRPr="0034540D">
        <w:rPr>
          <w:rStyle w:val="Appelnotedebasdep"/>
          <w:rFonts w:ascii="Times New Roman" w:hAnsi="Times New Roman" w:cs="Times New Roman"/>
          <w:sz w:val="24"/>
          <w:szCs w:val="24"/>
        </w:rPr>
        <w:footnoteReference w:id="48"/>
      </w:r>
      <w:r w:rsidR="00082C0B" w:rsidRPr="0034540D">
        <w:rPr>
          <w:rFonts w:ascii="Times New Roman" w:hAnsi="Times New Roman" w:cs="Times New Roman"/>
          <w:sz w:val="24"/>
          <w:szCs w:val="24"/>
        </w:rPr>
        <w:t xml:space="preserve"> , d’agent d’assurance, d’être électeurs, éligibles ou désignées aux juridictions professionnelles, aux chambres de commerce et aux chambres de métiers. lorsqu’ils ont fait l’objet de condamnation. En </w:t>
      </w:r>
      <w:r w:rsidR="00020B43" w:rsidRPr="0034540D">
        <w:rPr>
          <w:rFonts w:ascii="Times New Roman" w:hAnsi="Times New Roman" w:cs="Times New Roman"/>
          <w:sz w:val="24"/>
          <w:szCs w:val="24"/>
        </w:rPr>
        <w:t>plus</w:t>
      </w:r>
      <w:r w:rsidR="00082C0B" w:rsidRPr="0034540D">
        <w:rPr>
          <w:rFonts w:ascii="Times New Roman" w:hAnsi="Times New Roman" w:cs="Times New Roman"/>
          <w:sz w:val="24"/>
          <w:szCs w:val="24"/>
        </w:rPr>
        <w:t>, ils sont interdits de façon définitive et de plein droit de  diriger, d’administrer ou de gérer un établissement de crédit ou une de ses agences ; d’exercer l’une des activités des établissements de crédit, de proposer au public la création d’un établissement de crédit, de prendre des participations dans le capital d’un  établissement de crédit.</w:t>
      </w:r>
    </w:p>
    <w:p w:rsidR="00082C0B" w:rsidRPr="0034540D" w:rsidRDefault="00082C0B" w:rsidP="001E5084">
      <w:pPr>
        <w:pStyle w:val="Paragraphedeliste"/>
        <w:pBdr>
          <w:bottom w:val="single" w:sz="6" w:space="31" w:color="auto"/>
        </w:pBd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La violation de ces interdictions est sanctionnée par une peine d’amende en sus d’une peine d’ emprisonnement d’un (1) an à cinq (5) ans et d’une amende d’un million (1.000.000) à dix millions (10.000.000) de francs CFA ou de l’une de ces deux peines pour ses représentants  auteurs ou complices des mêmes faits, le cas échéant.</w:t>
      </w:r>
      <w:r w:rsidR="000A33F2"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En cas de récidive  dans les cinq(05) qui suivent une transaction ou une condamnation devenue définitive, le quantum de la </w:t>
      </w:r>
      <w:r w:rsidRPr="0034540D">
        <w:rPr>
          <w:rFonts w:ascii="Times New Roman" w:hAnsi="Times New Roman" w:cs="Times New Roman"/>
          <w:sz w:val="24"/>
          <w:szCs w:val="24"/>
        </w:rPr>
        <w:lastRenderedPageBreak/>
        <w:t xml:space="preserve">peine  encourue est porté au double pour tout membre ou représentant de l’établissement de crédit. </w:t>
      </w:r>
    </w:p>
    <w:p w:rsidR="003574B8" w:rsidRPr="0034540D" w:rsidRDefault="00020B43"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 xml:space="preserve">Note : </w:t>
      </w:r>
      <w:r w:rsidR="003574B8" w:rsidRPr="0034540D">
        <w:rPr>
          <w:rFonts w:ascii="Times New Roman" w:hAnsi="Times New Roman" w:cs="Times New Roman"/>
          <w:sz w:val="24"/>
          <w:szCs w:val="24"/>
        </w:rPr>
        <w:t xml:space="preserve">La consécration du principe de la responsabilité pénale des personnes morale a permis d’élargir le champ des sanctions aux personnes morales qui sont particulièrement touchées dans leur patrimoine. En effet, </w:t>
      </w:r>
      <w:r w:rsidR="000A33F2" w:rsidRPr="0034540D">
        <w:rPr>
          <w:rFonts w:ascii="Times New Roman" w:hAnsi="Times New Roman" w:cs="Times New Roman"/>
          <w:sz w:val="24"/>
          <w:szCs w:val="24"/>
        </w:rPr>
        <w:t xml:space="preserve"> lecture des peines infligées aux établissements de crédit</w:t>
      </w:r>
      <w:r w:rsidR="000A33F2" w:rsidRPr="0034540D">
        <w:rPr>
          <w:rFonts w:ascii="Times New Roman" w:hAnsi="Times New Roman" w:cs="Times New Roman"/>
          <w:b/>
          <w:sz w:val="24"/>
          <w:szCs w:val="24"/>
        </w:rPr>
        <w:t>,</w:t>
      </w:r>
      <w:r w:rsidR="003574B8" w:rsidRPr="0034540D">
        <w:rPr>
          <w:rFonts w:ascii="Times New Roman" w:hAnsi="Times New Roman" w:cs="Times New Roman"/>
          <w:b/>
          <w:sz w:val="24"/>
          <w:szCs w:val="24"/>
        </w:rPr>
        <w:t xml:space="preserve">  </w:t>
      </w:r>
      <w:r w:rsidR="000A33F2" w:rsidRPr="0034540D">
        <w:rPr>
          <w:rFonts w:ascii="Times New Roman" w:hAnsi="Times New Roman" w:cs="Times New Roman"/>
          <w:sz w:val="24"/>
          <w:szCs w:val="24"/>
        </w:rPr>
        <w:t>l’on se rend compte</w:t>
      </w:r>
      <w:r w:rsidR="003574B8" w:rsidRPr="0034540D">
        <w:rPr>
          <w:rFonts w:ascii="Times New Roman" w:hAnsi="Times New Roman" w:cs="Times New Roman"/>
          <w:sz w:val="24"/>
          <w:szCs w:val="24"/>
        </w:rPr>
        <w:t xml:space="preserve"> </w:t>
      </w:r>
      <w:r w:rsidR="000A33F2" w:rsidRPr="0034540D">
        <w:rPr>
          <w:rFonts w:ascii="Times New Roman" w:hAnsi="Times New Roman" w:cs="Times New Roman"/>
          <w:sz w:val="24"/>
          <w:szCs w:val="24"/>
        </w:rPr>
        <w:t xml:space="preserve"> qu</w:t>
      </w:r>
      <w:r w:rsidR="003574B8" w:rsidRPr="0034540D">
        <w:rPr>
          <w:rFonts w:ascii="Times New Roman" w:hAnsi="Times New Roman" w:cs="Times New Roman"/>
          <w:sz w:val="24"/>
          <w:szCs w:val="24"/>
        </w:rPr>
        <w:t>e pour l’essentiel, le juge pénal prononce des à caractère pécuniaire.</w:t>
      </w:r>
      <w:r w:rsidR="003574B8" w:rsidRPr="0034540D">
        <w:rPr>
          <w:rFonts w:ascii="Times New Roman" w:hAnsi="Times New Roman" w:cs="Times New Roman"/>
          <w:b/>
          <w:sz w:val="24"/>
          <w:szCs w:val="24"/>
        </w:rPr>
        <w:t xml:space="preserve">  </w:t>
      </w:r>
    </w:p>
    <w:p w:rsidR="00082C0B" w:rsidRPr="0034540D" w:rsidRDefault="00020B43"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 xml:space="preserve">Section IV : </w:t>
      </w:r>
      <w:r w:rsidR="00DA2AE2" w:rsidRPr="0034540D">
        <w:rPr>
          <w:rFonts w:ascii="Times New Roman" w:hAnsi="Times New Roman" w:cs="Times New Roman"/>
          <w:b/>
          <w:sz w:val="24"/>
          <w:szCs w:val="24"/>
        </w:rPr>
        <w:t>L</w:t>
      </w:r>
      <w:r w:rsidR="00082C0B" w:rsidRPr="0034540D">
        <w:rPr>
          <w:rFonts w:ascii="Times New Roman" w:hAnsi="Times New Roman" w:cs="Times New Roman"/>
          <w:b/>
          <w:sz w:val="24"/>
          <w:szCs w:val="24"/>
        </w:rPr>
        <w:t>’exécution des peines infligées</w:t>
      </w:r>
      <w:r w:rsidR="00DA2AE2" w:rsidRPr="0034540D">
        <w:rPr>
          <w:rFonts w:ascii="Times New Roman" w:hAnsi="Times New Roman" w:cs="Times New Roman"/>
          <w:b/>
          <w:sz w:val="24"/>
          <w:szCs w:val="24"/>
        </w:rPr>
        <w:t xml:space="preserve"> </w:t>
      </w:r>
    </w:p>
    <w:p w:rsidR="00D405F2" w:rsidRPr="0034540D" w:rsidRDefault="005B411B"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Pour l</w:t>
      </w:r>
      <w:r w:rsidR="00DA2AE2" w:rsidRPr="0034540D">
        <w:rPr>
          <w:rFonts w:ascii="Times New Roman" w:hAnsi="Times New Roman" w:cs="Times New Roman"/>
          <w:sz w:val="24"/>
          <w:szCs w:val="24"/>
        </w:rPr>
        <w:t>'exécution des peines prononcé</w:t>
      </w:r>
      <w:r w:rsidR="00D405F2" w:rsidRPr="0034540D">
        <w:rPr>
          <w:rFonts w:ascii="Times New Roman" w:hAnsi="Times New Roman" w:cs="Times New Roman"/>
          <w:sz w:val="24"/>
          <w:szCs w:val="24"/>
        </w:rPr>
        <w:t>e</w:t>
      </w:r>
      <w:r w:rsidR="00DA2AE2" w:rsidRPr="0034540D">
        <w:rPr>
          <w:rFonts w:ascii="Times New Roman" w:hAnsi="Times New Roman" w:cs="Times New Roman"/>
          <w:sz w:val="24"/>
          <w:szCs w:val="24"/>
        </w:rPr>
        <w:t>s à l’occasion de jugements en matière de changes</w:t>
      </w:r>
      <w:r w:rsidR="00D405F2" w:rsidRPr="0034540D">
        <w:rPr>
          <w:rFonts w:ascii="Times New Roman" w:hAnsi="Times New Roman" w:cs="Times New Roman"/>
          <w:sz w:val="24"/>
          <w:szCs w:val="24"/>
        </w:rPr>
        <w:t>, l’on doit d’emblée distinguer les sanctions pénales et les sanctions civiles prises à l’occasion par le juge pénal.</w:t>
      </w:r>
    </w:p>
    <w:p w:rsidR="00821C76" w:rsidRPr="0034540D" w:rsidRDefault="00D405F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L’exécution  des peines  civiles </w:t>
      </w:r>
      <w:r w:rsidR="00DA2AE2" w:rsidRPr="0034540D">
        <w:rPr>
          <w:rFonts w:ascii="Times New Roman" w:hAnsi="Times New Roman" w:cs="Times New Roman"/>
          <w:sz w:val="24"/>
          <w:szCs w:val="24"/>
        </w:rPr>
        <w:t xml:space="preserve"> peut avoir</w:t>
      </w:r>
      <w:r w:rsidR="00082C0B" w:rsidRPr="0034540D">
        <w:rPr>
          <w:rFonts w:ascii="Times New Roman" w:hAnsi="Times New Roman" w:cs="Times New Roman"/>
          <w:sz w:val="24"/>
          <w:szCs w:val="24"/>
        </w:rPr>
        <w:t xml:space="preserve"> lieu par toutes voies de droit</w:t>
      </w:r>
      <w:r w:rsidR="00DA2AE2" w:rsidRPr="0034540D">
        <w:rPr>
          <w:rFonts w:ascii="Times New Roman" w:hAnsi="Times New Roman" w:cs="Times New Roman"/>
          <w:sz w:val="24"/>
          <w:szCs w:val="24"/>
        </w:rPr>
        <w:t xml:space="preserve"> </w:t>
      </w:r>
      <w:r w:rsidR="00082C0B" w:rsidRPr="0034540D">
        <w:rPr>
          <w:rFonts w:ascii="Times New Roman" w:hAnsi="Times New Roman" w:cs="Times New Roman"/>
          <w:sz w:val="24"/>
          <w:szCs w:val="24"/>
        </w:rPr>
        <w:t xml:space="preserve"> et même </w:t>
      </w:r>
      <w:r w:rsidR="00DA2AE2" w:rsidRPr="0034540D">
        <w:rPr>
          <w:rFonts w:ascii="Times New Roman" w:hAnsi="Times New Roman" w:cs="Times New Roman"/>
          <w:sz w:val="24"/>
          <w:szCs w:val="24"/>
        </w:rPr>
        <w:t>par corps lorsqu’elle porte sur une condamnation.  L’on se rencontre que plusieurs  voies de droit sont mises en place pour faire exécuter les décisions  prises à l’occasion d’un jugement à l’encontre d’auteurs de violation de  la législation des changes  en  cas notamment d’absence d’exécution  volontaire.</w:t>
      </w:r>
      <w:r w:rsidR="005B411B" w:rsidRPr="0034540D">
        <w:rPr>
          <w:rFonts w:ascii="Times New Roman" w:hAnsi="Times New Roman" w:cs="Times New Roman"/>
          <w:sz w:val="24"/>
          <w:szCs w:val="24"/>
        </w:rPr>
        <w:t xml:space="preserve"> </w:t>
      </w:r>
      <w:r w:rsidRPr="0034540D">
        <w:rPr>
          <w:rFonts w:ascii="Times New Roman" w:hAnsi="Times New Roman" w:cs="Times New Roman"/>
          <w:sz w:val="24"/>
          <w:szCs w:val="24"/>
        </w:rPr>
        <w:t>Noter que</w:t>
      </w:r>
      <w:r w:rsidR="00DA2AE2" w:rsidRPr="0034540D">
        <w:rPr>
          <w:rFonts w:ascii="Times New Roman" w:hAnsi="Times New Roman" w:cs="Times New Roman"/>
          <w:sz w:val="24"/>
          <w:szCs w:val="24"/>
        </w:rPr>
        <w:t xml:space="preserve"> lorsque  la personne  a organisé son insolvabilité pour se soustraire à l’exécution d’une condamnation pécuniaire,</w:t>
      </w:r>
      <w:r w:rsidRPr="0034540D">
        <w:rPr>
          <w:rFonts w:ascii="Times New Roman" w:hAnsi="Times New Roman" w:cs="Times New Roman"/>
          <w:sz w:val="24"/>
          <w:szCs w:val="24"/>
        </w:rPr>
        <w:t xml:space="preserve"> il résulte du code des douanes, qu’il peut être </w:t>
      </w:r>
      <w:r w:rsidR="00DA2AE2" w:rsidRPr="0034540D">
        <w:rPr>
          <w:rFonts w:ascii="Times New Roman" w:hAnsi="Times New Roman" w:cs="Times New Roman"/>
          <w:sz w:val="24"/>
          <w:szCs w:val="24"/>
        </w:rPr>
        <w:t>demand</w:t>
      </w:r>
      <w:r w:rsidRPr="0034540D">
        <w:rPr>
          <w:rFonts w:ascii="Times New Roman" w:hAnsi="Times New Roman" w:cs="Times New Roman"/>
          <w:sz w:val="24"/>
          <w:szCs w:val="24"/>
        </w:rPr>
        <w:t>é</w:t>
      </w:r>
      <w:r w:rsidR="00DA2AE2" w:rsidRPr="0034540D">
        <w:rPr>
          <w:rFonts w:ascii="Times New Roman" w:hAnsi="Times New Roman" w:cs="Times New Roman"/>
          <w:sz w:val="24"/>
          <w:szCs w:val="24"/>
        </w:rPr>
        <w:t xml:space="preserve"> au juge de condamner solidairement son complice dans cette entreprise. En cas de décès de la personne avant le règlement des amendes, des confiscations et autres condamnations pécuniaires  prononcées contre elle par jugement définitif, ou stipulées dans les transactions, le recouvrement peut en être poursuivi contre sa succession par toutes voies de droit, sauf par</w:t>
      </w:r>
      <w:r w:rsidR="00821C76" w:rsidRPr="0034540D">
        <w:rPr>
          <w:rFonts w:ascii="Times New Roman" w:hAnsi="Times New Roman" w:cs="Times New Roman"/>
          <w:sz w:val="24"/>
          <w:szCs w:val="24"/>
        </w:rPr>
        <w:t xml:space="preserve"> corps.</w:t>
      </w:r>
    </w:p>
    <w:p w:rsidR="00DA2AE2" w:rsidRPr="0034540D" w:rsidRDefault="00821C76"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 Pour ce qui est de la voie de la contrainte par corps ,l’article 709  du code de procédure pénale dispose que « les arrêts ,jugements, ordonnances portant condamnation au profit de l’Etat  à des amendes, restitutions, dommages intérêts et dépens en matière  criminelle,</w:t>
      </w:r>
      <w:r w:rsidR="006C4466" w:rsidRPr="0034540D">
        <w:rPr>
          <w:rFonts w:ascii="Times New Roman" w:hAnsi="Times New Roman" w:cs="Times New Roman"/>
          <w:sz w:val="24"/>
          <w:szCs w:val="24"/>
        </w:rPr>
        <w:t xml:space="preserve"> </w:t>
      </w:r>
      <w:r w:rsidRPr="0034540D">
        <w:rPr>
          <w:rFonts w:ascii="Times New Roman" w:hAnsi="Times New Roman" w:cs="Times New Roman"/>
          <w:sz w:val="24"/>
          <w:szCs w:val="24"/>
        </w:rPr>
        <w:t>correctionnelle et de simple police sont exécutés d’office par la voie de la</w:t>
      </w:r>
      <w:r w:rsidR="006C4466"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contrainte par corps, après signification commandement de la décision définitive à la diligence du Ministère  Public qui </w:t>
      </w:r>
      <w:r w:rsidR="006C4466" w:rsidRPr="0034540D">
        <w:rPr>
          <w:rFonts w:ascii="Times New Roman" w:hAnsi="Times New Roman" w:cs="Times New Roman"/>
          <w:sz w:val="24"/>
          <w:szCs w:val="24"/>
        </w:rPr>
        <w:t>délivre</w:t>
      </w:r>
      <w:r w:rsidRPr="0034540D">
        <w:rPr>
          <w:rFonts w:ascii="Times New Roman" w:hAnsi="Times New Roman" w:cs="Times New Roman"/>
          <w:sz w:val="24"/>
          <w:szCs w:val="24"/>
        </w:rPr>
        <w:t xml:space="preserve"> en double exemplaire </w:t>
      </w:r>
      <w:r w:rsidRPr="0034540D">
        <w:rPr>
          <w:rFonts w:ascii="Times New Roman" w:hAnsi="Times New Roman" w:cs="Times New Roman"/>
          <w:sz w:val="24"/>
          <w:szCs w:val="24"/>
        </w:rPr>
        <w:lastRenderedPageBreak/>
        <w:t>les réquisitions d’incarcération contre le condamné qui n’aura pas payé volontai</w:t>
      </w:r>
      <w:r w:rsidR="006C4466" w:rsidRPr="0034540D">
        <w:rPr>
          <w:rFonts w:ascii="Times New Roman" w:hAnsi="Times New Roman" w:cs="Times New Roman"/>
          <w:sz w:val="24"/>
          <w:szCs w:val="24"/>
        </w:rPr>
        <w:t>rement dans les conditions fixé</w:t>
      </w:r>
      <w:r w:rsidRPr="0034540D">
        <w:rPr>
          <w:rFonts w:ascii="Times New Roman" w:hAnsi="Times New Roman" w:cs="Times New Roman"/>
          <w:sz w:val="24"/>
          <w:szCs w:val="24"/>
        </w:rPr>
        <w:t>es…. »</w:t>
      </w:r>
    </w:p>
    <w:p w:rsidR="005B411B" w:rsidRPr="0034540D" w:rsidRDefault="006C4466" w:rsidP="001E5084">
      <w:pPr>
        <w:pStyle w:val="Default"/>
        <w:tabs>
          <w:tab w:val="left" w:pos="142"/>
          <w:tab w:val="left" w:pos="567"/>
          <w:tab w:val="left" w:pos="709"/>
        </w:tabs>
        <w:spacing w:line="360" w:lineRule="auto"/>
        <w:jc w:val="both"/>
        <w:rPr>
          <w:rFonts w:ascii="Times New Roman" w:hAnsi="Times New Roman" w:cs="Times New Roman"/>
        </w:rPr>
      </w:pPr>
      <w:r w:rsidRPr="0034540D">
        <w:rPr>
          <w:rFonts w:ascii="Times New Roman" w:hAnsi="Times New Roman" w:cs="Times New Roman"/>
        </w:rPr>
        <w:t xml:space="preserve"> Selon l’article 364 du code des Douanes, </w:t>
      </w:r>
      <w:r w:rsidR="005B411B" w:rsidRPr="0034540D">
        <w:rPr>
          <w:rFonts w:ascii="Times New Roman" w:hAnsi="Times New Roman" w:cs="Times New Roman"/>
        </w:rPr>
        <w:t>la personne physique    qui fait l’objet d’une condamnation  pécuniaire est, maintenu en détention, nonobstant appel ou pourvoi en cassation, jusqu'à ce qu'il ait acquitté le montant des condamnations pécuniaires prononcées contre lui. Toutefois, la durée de la détention ne peut excéder celle fixée par la législation relative à la contrainte par corps</w:t>
      </w:r>
      <w:r w:rsidR="00821C76" w:rsidRPr="0034540D">
        <w:rPr>
          <w:rFonts w:ascii="Times New Roman" w:hAnsi="Times New Roman" w:cs="Times New Roman"/>
        </w:rPr>
        <w:t>.</w:t>
      </w:r>
      <w:r w:rsidR="00821C76" w:rsidRPr="0034540D">
        <w:rPr>
          <w:rStyle w:val="Appelnotedebasdep"/>
          <w:rFonts w:ascii="Times New Roman" w:hAnsi="Times New Roman" w:cs="Times New Roman"/>
        </w:rPr>
        <w:footnoteReference w:id="49"/>
      </w:r>
    </w:p>
    <w:p w:rsidR="00DA2AE2" w:rsidRPr="0034540D" w:rsidRDefault="00DA2AE2" w:rsidP="001E5084">
      <w:pPr>
        <w:pStyle w:val="Default"/>
        <w:tabs>
          <w:tab w:val="left" w:pos="142"/>
          <w:tab w:val="left" w:pos="567"/>
          <w:tab w:val="left" w:pos="709"/>
        </w:tabs>
        <w:spacing w:line="360" w:lineRule="auto"/>
        <w:jc w:val="both"/>
        <w:rPr>
          <w:rFonts w:ascii="Times New Roman" w:hAnsi="Times New Roman" w:cs="Times New Roman"/>
        </w:rPr>
      </w:pPr>
      <w:r w:rsidRPr="0034540D">
        <w:rPr>
          <w:rFonts w:ascii="Times New Roman" w:hAnsi="Times New Roman" w:cs="Times New Roman"/>
        </w:rPr>
        <w:t xml:space="preserve">Dans </w:t>
      </w:r>
      <w:r w:rsidR="00D405F2" w:rsidRPr="0034540D">
        <w:rPr>
          <w:rFonts w:ascii="Times New Roman" w:hAnsi="Times New Roman" w:cs="Times New Roman"/>
        </w:rPr>
        <w:t>les cas qui requièrent célérité</w:t>
      </w:r>
      <w:r w:rsidRPr="0034540D">
        <w:rPr>
          <w:rFonts w:ascii="Times New Roman" w:hAnsi="Times New Roman" w:cs="Times New Roman"/>
        </w:rPr>
        <w:t>,</w:t>
      </w:r>
      <w:r w:rsidRPr="0034540D">
        <w:rPr>
          <w:rFonts w:ascii="Times New Roman" w:hAnsi="Times New Roman" w:cs="Times New Roman"/>
          <w:b/>
          <w:bCs/>
        </w:rPr>
        <w:t xml:space="preserve"> </w:t>
      </w:r>
      <w:r w:rsidR="00E61487" w:rsidRPr="0034540D">
        <w:rPr>
          <w:rFonts w:ascii="Times New Roman" w:hAnsi="Times New Roman" w:cs="Times New Roman"/>
          <w:b/>
          <w:bCs/>
        </w:rPr>
        <w:t>l’a</w:t>
      </w:r>
      <w:r w:rsidRPr="0034540D">
        <w:rPr>
          <w:rFonts w:ascii="Times New Roman" w:hAnsi="Times New Roman" w:cs="Times New Roman"/>
          <w:bCs/>
        </w:rPr>
        <w:t>rticle 363</w:t>
      </w:r>
      <w:r w:rsidRPr="0034540D">
        <w:rPr>
          <w:rFonts w:ascii="Times New Roman" w:hAnsi="Times New Roman" w:cs="Times New Roman"/>
          <w:b/>
          <w:bCs/>
        </w:rPr>
        <w:t xml:space="preserve"> </w:t>
      </w:r>
      <w:r w:rsidR="00E61487" w:rsidRPr="0034540D">
        <w:rPr>
          <w:rFonts w:ascii="Times New Roman" w:hAnsi="Times New Roman" w:cs="Times New Roman"/>
          <w:bCs/>
        </w:rPr>
        <w:t xml:space="preserve">du code des douanes prévoit  que </w:t>
      </w:r>
      <w:r w:rsidRPr="0034540D">
        <w:rPr>
          <w:rFonts w:ascii="Times New Roman" w:hAnsi="Times New Roman" w:cs="Times New Roman"/>
        </w:rPr>
        <w:t>le Président du tribunal</w:t>
      </w:r>
      <w:r w:rsidR="00E61487" w:rsidRPr="0034540D">
        <w:rPr>
          <w:rFonts w:ascii="Times New Roman" w:hAnsi="Times New Roman" w:cs="Times New Roman"/>
        </w:rPr>
        <w:t xml:space="preserve"> compétent, saisi sur requête du Ministre chargé des Finances ou de son représentant  dument habilité, </w:t>
      </w:r>
      <w:r w:rsidRPr="0034540D">
        <w:rPr>
          <w:rFonts w:ascii="Times New Roman" w:hAnsi="Times New Roman" w:cs="Times New Roman"/>
        </w:rPr>
        <w:t xml:space="preserve"> peut autorisation la saisie conservatoire des biens de l’auteur de l’infraction à la législation des changes en vertu soit  d'un jugement de condamnation, soit même avant jugement et ce conformément aux dispositions du code de procédure civile et des actes uniformes pertinents en la matière. L’ordonnance à pied de requête rendue à cet effet est exécutoire nonobstant opposition ou appel. Lorsque la mainlevée de ce</w:t>
      </w:r>
      <w:r w:rsidR="00D405F2" w:rsidRPr="0034540D">
        <w:rPr>
          <w:rFonts w:ascii="Times New Roman" w:hAnsi="Times New Roman" w:cs="Times New Roman"/>
        </w:rPr>
        <w:t>tte</w:t>
      </w:r>
      <w:r w:rsidRPr="0034540D">
        <w:rPr>
          <w:rFonts w:ascii="Times New Roman" w:hAnsi="Times New Roman" w:cs="Times New Roman"/>
        </w:rPr>
        <w:t xml:space="preserve"> saisie est sollicité</w:t>
      </w:r>
      <w:r w:rsidR="00D405F2" w:rsidRPr="0034540D">
        <w:rPr>
          <w:rFonts w:ascii="Times New Roman" w:hAnsi="Times New Roman" w:cs="Times New Roman"/>
        </w:rPr>
        <w:t>e</w:t>
      </w:r>
      <w:r w:rsidRPr="0034540D">
        <w:rPr>
          <w:rFonts w:ascii="Times New Roman" w:hAnsi="Times New Roman" w:cs="Times New Roman"/>
        </w:rPr>
        <w:t>, celle-ci ne peut être ordonnée que  si le saisi fournit une caution jugée suffisante.</w:t>
      </w:r>
    </w:p>
    <w:p w:rsidR="00DA2AE2" w:rsidRPr="0034540D" w:rsidRDefault="00DA2AE2" w:rsidP="001E5084">
      <w:pPr>
        <w:pStyle w:val="Default"/>
        <w:tabs>
          <w:tab w:val="left" w:pos="142"/>
          <w:tab w:val="left" w:pos="567"/>
          <w:tab w:val="left" w:pos="709"/>
        </w:tabs>
        <w:spacing w:line="360" w:lineRule="auto"/>
        <w:jc w:val="both"/>
        <w:rPr>
          <w:rFonts w:ascii="Times New Roman" w:hAnsi="Times New Roman" w:cs="Times New Roman"/>
        </w:rPr>
      </w:pPr>
      <w:r w:rsidRPr="0034540D">
        <w:rPr>
          <w:rFonts w:ascii="Times New Roman" w:hAnsi="Times New Roman" w:cs="Times New Roman"/>
        </w:rPr>
        <w:t>Cependant,  il peut être sollicité par  tout intéressé  la mainlevée des objets saisis pour infraction à la réglementation des changes. Dans ce cas, lorsqu’elle  est accordée par jugements contre lesquels une voie de recours est introduite, la remise n'en est faite à ceux au profit desquels lesdits jugements ont été rendus, que sous bonne et suffisante caution de leur valeur. Toutefois, il y a lieu d</w:t>
      </w:r>
      <w:r w:rsidR="00E61487" w:rsidRPr="0034540D">
        <w:rPr>
          <w:rFonts w:ascii="Times New Roman" w:hAnsi="Times New Roman" w:cs="Times New Roman"/>
        </w:rPr>
        <w:t>e</w:t>
      </w:r>
      <w:r w:rsidRPr="0034540D">
        <w:rPr>
          <w:rFonts w:ascii="Times New Roman" w:hAnsi="Times New Roman" w:cs="Times New Roman"/>
        </w:rPr>
        <w:t xml:space="preserve"> préciser que la mainlevée ne peut jamais être accordée pour les marchandises prohibées.</w:t>
      </w:r>
    </w:p>
    <w:p w:rsidR="008D7C66" w:rsidRPr="0034540D" w:rsidRDefault="00F01102" w:rsidP="001E5084">
      <w:pPr>
        <w:pStyle w:val="Default"/>
        <w:tabs>
          <w:tab w:val="left" w:pos="142"/>
          <w:tab w:val="left" w:pos="567"/>
          <w:tab w:val="left" w:pos="709"/>
        </w:tabs>
        <w:spacing w:line="360" w:lineRule="auto"/>
        <w:jc w:val="both"/>
        <w:rPr>
          <w:rFonts w:ascii="Times New Roman" w:hAnsi="Times New Roman" w:cs="Times New Roman"/>
          <w:color w:val="auto"/>
        </w:rPr>
      </w:pPr>
      <w:r w:rsidRPr="0034540D">
        <w:rPr>
          <w:rFonts w:ascii="Times New Roman" w:hAnsi="Times New Roman" w:cs="Times New Roman"/>
          <w:color w:val="auto"/>
        </w:rPr>
        <w:t>Pour ce qui concerne l’exécution des sanctions pénales, elle est de compétence du Procureur de la République conformément au code de procédure pénale.</w:t>
      </w:r>
    </w:p>
    <w:p w:rsidR="008D7C66" w:rsidRPr="0034540D" w:rsidRDefault="008D7C66" w:rsidP="001E5084">
      <w:pPr>
        <w:pStyle w:val="Default"/>
        <w:tabs>
          <w:tab w:val="left" w:pos="142"/>
          <w:tab w:val="left" w:pos="567"/>
          <w:tab w:val="left" w:pos="709"/>
        </w:tabs>
        <w:spacing w:line="360" w:lineRule="auto"/>
        <w:jc w:val="both"/>
        <w:rPr>
          <w:rFonts w:ascii="Times New Roman" w:hAnsi="Times New Roman" w:cs="Times New Roman"/>
          <w:color w:val="auto"/>
        </w:rPr>
      </w:pPr>
      <w:r w:rsidRPr="0034540D">
        <w:rPr>
          <w:rFonts w:ascii="Times New Roman" w:hAnsi="Times New Roman" w:cs="Times New Roman"/>
          <w:color w:val="auto"/>
        </w:rPr>
        <w:t>------</w:t>
      </w:r>
    </w:p>
    <w:p w:rsidR="006304FC" w:rsidRPr="0034540D" w:rsidRDefault="008D7C66" w:rsidP="001E5084">
      <w:pPr>
        <w:pStyle w:val="Default"/>
        <w:tabs>
          <w:tab w:val="left" w:pos="142"/>
          <w:tab w:val="left" w:pos="567"/>
          <w:tab w:val="left" w:pos="709"/>
        </w:tabs>
        <w:spacing w:line="360" w:lineRule="auto"/>
        <w:jc w:val="both"/>
        <w:rPr>
          <w:rFonts w:ascii="Times New Roman" w:hAnsi="Times New Roman" w:cs="Times New Roman"/>
        </w:rPr>
      </w:pPr>
      <w:r w:rsidRPr="0034540D">
        <w:rPr>
          <w:rFonts w:ascii="Times New Roman" w:hAnsi="Times New Roman" w:cs="Times New Roman"/>
          <w:color w:val="auto"/>
        </w:rPr>
        <w:t>Note : Il a été  prévu que le</w:t>
      </w:r>
      <w:r w:rsidRPr="0034540D">
        <w:rPr>
          <w:rFonts w:ascii="Times New Roman" w:hAnsi="Times New Roman" w:cs="Times New Roman"/>
          <w:color w:val="FF0000"/>
        </w:rPr>
        <w:t xml:space="preserve"> </w:t>
      </w:r>
      <w:r w:rsidR="00DA2AE2" w:rsidRPr="0034540D">
        <w:rPr>
          <w:rFonts w:ascii="Times New Roman" w:hAnsi="Times New Roman" w:cs="Times New Roman"/>
        </w:rPr>
        <w:t>pro</w:t>
      </w:r>
      <w:r w:rsidR="00E61487" w:rsidRPr="0034540D">
        <w:rPr>
          <w:rFonts w:ascii="Times New Roman" w:hAnsi="Times New Roman" w:cs="Times New Roman"/>
        </w:rPr>
        <w:t>duit résultant des transactions</w:t>
      </w:r>
      <w:r w:rsidR="00DA2AE2" w:rsidRPr="0034540D">
        <w:rPr>
          <w:rFonts w:ascii="Times New Roman" w:hAnsi="Times New Roman" w:cs="Times New Roman"/>
        </w:rPr>
        <w:t>,</w:t>
      </w:r>
      <w:r w:rsidR="006C4466" w:rsidRPr="0034540D">
        <w:rPr>
          <w:rFonts w:ascii="Times New Roman" w:hAnsi="Times New Roman" w:cs="Times New Roman"/>
        </w:rPr>
        <w:t xml:space="preserve"> </w:t>
      </w:r>
      <w:r w:rsidR="00DA2AE2" w:rsidRPr="0034540D">
        <w:rPr>
          <w:rFonts w:ascii="Times New Roman" w:hAnsi="Times New Roman" w:cs="Times New Roman"/>
        </w:rPr>
        <w:t xml:space="preserve">des  confiscations et autres condamnations </w:t>
      </w:r>
      <w:r w:rsidRPr="0034540D">
        <w:rPr>
          <w:rFonts w:ascii="Times New Roman" w:hAnsi="Times New Roman" w:cs="Times New Roman"/>
        </w:rPr>
        <w:t>pécuniaires</w:t>
      </w:r>
      <w:r w:rsidR="00DA2AE2" w:rsidRPr="0034540D">
        <w:rPr>
          <w:rFonts w:ascii="Times New Roman" w:hAnsi="Times New Roman" w:cs="Times New Roman"/>
        </w:rPr>
        <w:t xml:space="preserve">  </w:t>
      </w:r>
      <w:r w:rsidRPr="0034540D">
        <w:rPr>
          <w:rFonts w:ascii="Times New Roman" w:hAnsi="Times New Roman" w:cs="Times New Roman"/>
        </w:rPr>
        <w:t xml:space="preserve">doit </w:t>
      </w:r>
      <w:r w:rsidR="00DA2AE2" w:rsidRPr="0034540D">
        <w:rPr>
          <w:rFonts w:ascii="Times New Roman" w:hAnsi="Times New Roman" w:cs="Times New Roman"/>
        </w:rPr>
        <w:t>fai</w:t>
      </w:r>
      <w:r w:rsidRPr="0034540D">
        <w:rPr>
          <w:rFonts w:ascii="Times New Roman" w:hAnsi="Times New Roman" w:cs="Times New Roman"/>
        </w:rPr>
        <w:t>re</w:t>
      </w:r>
      <w:r w:rsidR="00DA2AE2" w:rsidRPr="0034540D">
        <w:rPr>
          <w:rFonts w:ascii="Times New Roman" w:hAnsi="Times New Roman" w:cs="Times New Roman"/>
        </w:rPr>
        <w:t xml:space="preserve"> l’objet de répartition</w:t>
      </w:r>
      <w:r w:rsidRPr="0034540D">
        <w:rPr>
          <w:rFonts w:ascii="Times New Roman" w:hAnsi="Times New Roman" w:cs="Times New Roman"/>
        </w:rPr>
        <w:t xml:space="preserve">. Que les modalités d’une telle répartition devait être établies par décret. Mais il ya lieu de noter, qu’au Sénégal, aucun décret portant répartition  de ce produit n’a été encore pris. Ce qui constitue un vide juridique en la matière. </w:t>
      </w:r>
    </w:p>
    <w:p w:rsidR="00E61487" w:rsidRPr="0034540D" w:rsidRDefault="00E61487" w:rsidP="001E5084">
      <w:pPr>
        <w:pStyle w:val="Default"/>
        <w:tabs>
          <w:tab w:val="left" w:pos="142"/>
          <w:tab w:val="left" w:pos="567"/>
          <w:tab w:val="left" w:pos="709"/>
        </w:tabs>
        <w:spacing w:line="360" w:lineRule="auto"/>
        <w:jc w:val="both"/>
        <w:rPr>
          <w:rFonts w:ascii="Times New Roman" w:hAnsi="Times New Roman" w:cs="Times New Roman"/>
          <w:b/>
        </w:rPr>
      </w:pP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lastRenderedPageBreak/>
        <w:t xml:space="preserve">Article 427 : la poursuite des infractions en matière de change ne peut être exercée que sur plainte du Ministre chargé des finances ou de l’un de ses représentants habilités à cet effet. </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 xml:space="preserve">Un arrêté du Ministre des finances désigne  les agents des douanes habilités en la matière. </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Note : voir en annexe l’arrêté sus visé</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w:t>
      </w:r>
    </w:p>
    <w:p w:rsidR="00442F39" w:rsidRPr="0034540D" w:rsidRDefault="008E7BDA" w:rsidP="001E5084">
      <w:pPr>
        <w:pStyle w:val="Paragraphedeliste"/>
        <w:numPr>
          <w:ilvl w:val="0"/>
          <w:numId w:val="33"/>
        </w:numPr>
        <w:tabs>
          <w:tab w:val="left" w:pos="142"/>
          <w:tab w:val="left" w:pos="567"/>
          <w:tab w:val="left" w:pos="709"/>
        </w:tabs>
        <w:spacing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La   poursuite des infractions à la législation des changes : un attribut exclusif du Ministre chargé des Finances </w:t>
      </w:r>
    </w:p>
    <w:p w:rsidR="00DA2AE2" w:rsidRPr="0034540D" w:rsidRDefault="00DA2AE2" w:rsidP="001E5084">
      <w:pPr>
        <w:tabs>
          <w:tab w:val="left" w:pos="142"/>
          <w:tab w:val="left" w:pos="567"/>
          <w:tab w:val="left" w:pos="709"/>
        </w:tabs>
        <w:spacing w:line="360" w:lineRule="auto"/>
        <w:jc w:val="both"/>
        <w:rPr>
          <w:rFonts w:ascii="Times New Roman" w:eastAsia="Times New Roman" w:hAnsi="Times New Roman" w:cs="Times New Roman"/>
          <w:b/>
          <w:bCs/>
          <w:color w:val="333333"/>
          <w:sz w:val="24"/>
          <w:szCs w:val="24"/>
          <w:lang w:eastAsia="fr-FR"/>
        </w:rPr>
      </w:pPr>
      <w:r w:rsidRPr="0034540D">
        <w:rPr>
          <w:rFonts w:ascii="Times New Roman" w:hAnsi="Times New Roman" w:cs="Times New Roman"/>
          <w:sz w:val="24"/>
          <w:szCs w:val="24"/>
        </w:rPr>
        <w:t xml:space="preserve"> </w:t>
      </w:r>
      <w:r w:rsidR="00E61487" w:rsidRPr="0034540D">
        <w:rPr>
          <w:rFonts w:ascii="Times New Roman" w:hAnsi="Times New Roman" w:cs="Times New Roman"/>
          <w:sz w:val="24"/>
          <w:szCs w:val="24"/>
        </w:rPr>
        <w:t>I</w:t>
      </w:r>
      <w:r w:rsidRPr="0034540D">
        <w:rPr>
          <w:rFonts w:ascii="Times New Roman" w:hAnsi="Times New Roman" w:cs="Times New Roman"/>
          <w:sz w:val="24"/>
          <w:szCs w:val="24"/>
        </w:rPr>
        <w:t>l</w:t>
      </w:r>
      <w:r w:rsidR="00E61487" w:rsidRPr="0034540D">
        <w:rPr>
          <w:rFonts w:ascii="Times New Roman" w:hAnsi="Times New Roman" w:cs="Times New Roman"/>
          <w:sz w:val="24"/>
          <w:szCs w:val="24"/>
        </w:rPr>
        <w:t xml:space="preserve"> </w:t>
      </w:r>
      <w:r w:rsidRPr="0034540D">
        <w:rPr>
          <w:rFonts w:ascii="Times New Roman" w:hAnsi="Times New Roman" w:cs="Times New Roman"/>
          <w:sz w:val="24"/>
          <w:szCs w:val="24"/>
        </w:rPr>
        <w:t xml:space="preserve"> ressort de la lecture de cet article que le droit de poursuite  en matière d’infraction à la législation des changes est reconnu exclusivement au Ministre chargé des Finances ou son représentant désigné à cet effet.</w:t>
      </w:r>
      <w:r w:rsidR="00442F39" w:rsidRPr="0034540D">
        <w:rPr>
          <w:rFonts w:ascii="Times New Roman" w:hAnsi="Times New Roman" w:cs="Times New Roman"/>
          <w:sz w:val="24"/>
          <w:szCs w:val="24"/>
        </w:rPr>
        <w:t xml:space="preserve"> En d’autres termes, il s’agit d’un droit dont dispose le Ministre chargé des Finances qu’il délègue à des autorités désignées par arrêté</w:t>
      </w:r>
      <w:r w:rsidR="00A56B04" w:rsidRPr="0034540D">
        <w:rPr>
          <w:rFonts w:ascii="Times New Roman" w:hAnsi="Times New Roman" w:cs="Times New Roman"/>
          <w:sz w:val="24"/>
          <w:szCs w:val="24"/>
        </w:rPr>
        <w:t>.</w:t>
      </w:r>
      <w:r w:rsidR="00442F39" w:rsidRPr="0034540D">
        <w:rPr>
          <w:rFonts w:ascii="Times New Roman" w:hAnsi="Times New Roman" w:cs="Times New Roman"/>
          <w:sz w:val="24"/>
          <w:szCs w:val="24"/>
        </w:rPr>
        <w:t xml:space="preserve"> L’on peut donc soutenir sans risque de nous trompons que n</w:t>
      </w:r>
      <w:r w:rsidRPr="0034540D">
        <w:rPr>
          <w:rFonts w:ascii="Times New Roman" w:hAnsi="Times New Roman" w:cs="Times New Roman"/>
          <w:sz w:val="24"/>
          <w:szCs w:val="24"/>
        </w:rPr>
        <w:t>ulle autre autorité ne peut, sans être désignée, exercer des poursuites contre des infractions en matière  de changes.</w:t>
      </w:r>
      <w:r w:rsidR="00A56B04" w:rsidRPr="0034540D">
        <w:rPr>
          <w:rFonts w:ascii="Times New Roman" w:hAnsi="Times New Roman" w:cs="Times New Roman"/>
          <w:sz w:val="24"/>
          <w:szCs w:val="24"/>
        </w:rPr>
        <w:t xml:space="preserve"> En outre l’arrêté  est venu préciser les champs d’application de ce pouvoir de poursuivre dés lors qu’il s’agit des personnes physiques et des personnes morales autres que les établissement</w:t>
      </w:r>
      <w:r w:rsidR="00DD7F84" w:rsidRPr="0034540D">
        <w:rPr>
          <w:rFonts w:ascii="Times New Roman" w:hAnsi="Times New Roman" w:cs="Times New Roman"/>
          <w:sz w:val="24"/>
          <w:szCs w:val="24"/>
        </w:rPr>
        <w:t>s</w:t>
      </w:r>
      <w:r w:rsidR="00A56B04" w:rsidRPr="0034540D">
        <w:rPr>
          <w:rFonts w:ascii="Times New Roman" w:hAnsi="Times New Roman" w:cs="Times New Roman"/>
          <w:sz w:val="24"/>
          <w:szCs w:val="24"/>
        </w:rPr>
        <w:t xml:space="preserve"> de crédit.</w:t>
      </w:r>
      <w:r w:rsidRPr="0034540D">
        <w:rPr>
          <w:rFonts w:ascii="Times New Roman" w:hAnsi="Times New Roman" w:cs="Times New Roman"/>
          <w:sz w:val="24"/>
          <w:szCs w:val="24"/>
        </w:rPr>
        <w:t xml:space="preserve"> Le Ministre chargé des finances </w:t>
      </w:r>
      <w:r w:rsidRPr="0034540D">
        <w:rPr>
          <w:rFonts w:ascii="Times New Roman" w:hAnsi="Times New Roman" w:cs="Times New Roman"/>
          <w:sz w:val="24"/>
          <w:szCs w:val="24"/>
          <w:highlight w:val="yellow"/>
        </w:rPr>
        <w:t xml:space="preserve">ou </w:t>
      </w:r>
      <w:r w:rsidRPr="001E5084">
        <w:rPr>
          <w:rFonts w:ascii="Times New Roman" w:hAnsi="Times New Roman" w:cs="Times New Roman"/>
          <w:sz w:val="24"/>
          <w:szCs w:val="24"/>
        </w:rPr>
        <w:t>l’</w:t>
      </w:r>
      <w:r w:rsidR="008E7BDA" w:rsidRPr="001E5084">
        <w:rPr>
          <w:rFonts w:ascii="Times New Roman" w:hAnsi="Times New Roman" w:cs="Times New Roman"/>
          <w:sz w:val="24"/>
          <w:szCs w:val="24"/>
        </w:rPr>
        <w:t>un de ses représentants</w:t>
      </w:r>
      <w:r w:rsidR="008E7BDA" w:rsidRPr="0034540D">
        <w:rPr>
          <w:rFonts w:ascii="Times New Roman" w:hAnsi="Times New Roman" w:cs="Times New Roman"/>
          <w:sz w:val="24"/>
          <w:szCs w:val="24"/>
        </w:rPr>
        <w:t xml:space="preserve">, à qui </w:t>
      </w:r>
      <w:r w:rsidRPr="0034540D">
        <w:rPr>
          <w:rFonts w:ascii="Times New Roman" w:hAnsi="Times New Roman" w:cs="Times New Roman"/>
          <w:sz w:val="24"/>
          <w:szCs w:val="24"/>
          <w:highlight w:val="yellow"/>
        </w:rPr>
        <w:t>s</w:t>
      </w:r>
      <w:r w:rsidR="008E7BDA" w:rsidRPr="0034540D">
        <w:rPr>
          <w:rFonts w:ascii="Times New Roman" w:hAnsi="Times New Roman" w:cs="Times New Roman"/>
          <w:sz w:val="24"/>
          <w:szCs w:val="24"/>
          <w:highlight w:val="yellow"/>
        </w:rPr>
        <w:t>on</w:t>
      </w:r>
      <w:r w:rsidRPr="0034540D">
        <w:rPr>
          <w:rFonts w:ascii="Times New Roman" w:hAnsi="Times New Roman" w:cs="Times New Roman"/>
          <w:sz w:val="24"/>
          <w:szCs w:val="24"/>
          <w:highlight w:val="yellow"/>
        </w:rPr>
        <w:t>t</w:t>
      </w:r>
      <w:r w:rsidRPr="0034540D">
        <w:rPr>
          <w:rFonts w:ascii="Times New Roman" w:hAnsi="Times New Roman" w:cs="Times New Roman"/>
          <w:sz w:val="24"/>
          <w:szCs w:val="24"/>
        </w:rPr>
        <w:t xml:space="preserve"> </w:t>
      </w:r>
      <w:r w:rsidR="00DD7F84" w:rsidRPr="0034540D">
        <w:rPr>
          <w:rFonts w:ascii="Times New Roman" w:hAnsi="Times New Roman" w:cs="Times New Roman"/>
          <w:sz w:val="24"/>
          <w:szCs w:val="24"/>
        </w:rPr>
        <w:t>est</w:t>
      </w:r>
      <w:r w:rsidRPr="0034540D">
        <w:rPr>
          <w:rFonts w:ascii="Times New Roman" w:hAnsi="Times New Roman" w:cs="Times New Roman"/>
          <w:sz w:val="24"/>
          <w:szCs w:val="24"/>
        </w:rPr>
        <w:t xml:space="preserve"> transmis les procès verbaux de constat établis par les agents habilités, </w:t>
      </w:r>
      <w:r w:rsidRPr="0034540D">
        <w:rPr>
          <w:rFonts w:ascii="Times New Roman" w:eastAsia="Times New Roman" w:hAnsi="Times New Roman" w:cs="Times New Roman"/>
          <w:b/>
          <w:bCs/>
          <w:color w:val="333333"/>
          <w:sz w:val="24"/>
          <w:szCs w:val="24"/>
          <w:lang w:eastAsia="fr-FR"/>
        </w:rPr>
        <w:t xml:space="preserve"> </w:t>
      </w:r>
      <w:r w:rsidRPr="0034540D">
        <w:rPr>
          <w:rFonts w:ascii="Times New Roman" w:eastAsia="Times New Roman" w:hAnsi="Times New Roman" w:cs="Times New Roman"/>
          <w:bCs/>
          <w:color w:val="333333"/>
          <w:sz w:val="24"/>
          <w:szCs w:val="24"/>
          <w:lang w:eastAsia="fr-FR"/>
        </w:rPr>
        <w:t>apprécie la nécessité d’un règlement c</w:t>
      </w:r>
      <w:r w:rsidR="00DD7F84" w:rsidRPr="0034540D">
        <w:rPr>
          <w:rFonts w:ascii="Times New Roman" w:eastAsia="Times New Roman" w:hAnsi="Times New Roman" w:cs="Times New Roman"/>
          <w:bCs/>
          <w:color w:val="333333"/>
          <w:sz w:val="24"/>
          <w:szCs w:val="24"/>
          <w:lang w:eastAsia="fr-FR"/>
        </w:rPr>
        <w:t xml:space="preserve">ontentieux ou  non, </w:t>
      </w:r>
      <w:r w:rsidRPr="0034540D">
        <w:rPr>
          <w:rFonts w:ascii="Times New Roman" w:eastAsia="Times New Roman" w:hAnsi="Times New Roman" w:cs="Times New Roman"/>
          <w:bCs/>
          <w:color w:val="333333"/>
          <w:sz w:val="24"/>
          <w:szCs w:val="24"/>
          <w:lang w:eastAsia="fr-FR"/>
        </w:rPr>
        <w:t xml:space="preserve">il décide </w:t>
      </w:r>
      <w:r w:rsidR="00DD7F84" w:rsidRPr="0034540D">
        <w:rPr>
          <w:rFonts w:ascii="Times New Roman" w:eastAsia="Times New Roman" w:hAnsi="Times New Roman" w:cs="Times New Roman"/>
          <w:bCs/>
          <w:color w:val="333333"/>
          <w:sz w:val="24"/>
          <w:szCs w:val="24"/>
          <w:lang w:eastAsia="fr-FR"/>
        </w:rPr>
        <w:t xml:space="preserve">donc </w:t>
      </w:r>
      <w:r w:rsidRPr="0034540D">
        <w:rPr>
          <w:rFonts w:ascii="Times New Roman" w:eastAsia="Times New Roman" w:hAnsi="Times New Roman" w:cs="Times New Roman"/>
          <w:bCs/>
          <w:color w:val="333333"/>
          <w:sz w:val="24"/>
          <w:szCs w:val="24"/>
          <w:lang w:eastAsia="fr-FR"/>
        </w:rPr>
        <w:t>librement de la suite donner aux procès verbaux.  Ainsi, lorsqu’il entend emprunter la voie contentieuse, il ne pourra user que du moyen de la plainte.  A coté de la voie juridictionnelle développée plus haut, le Ministre chargé des finances ou son représentant</w:t>
      </w:r>
      <w:r w:rsidR="00E61487" w:rsidRPr="0034540D">
        <w:rPr>
          <w:rFonts w:ascii="Times New Roman" w:eastAsia="Times New Roman" w:hAnsi="Times New Roman" w:cs="Times New Roman"/>
          <w:bCs/>
          <w:color w:val="333333"/>
          <w:sz w:val="24"/>
          <w:szCs w:val="24"/>
          <w:lang w:eastAsia="fr-FR"/>
        </w:rPr>
        <w:t xml:space="preserve"> a </w:t>
      </w:r>
      <w:r w:rsidRPr="0034540D">
        <w:rPr>
          <w:rFonts w:ascii="Times New Roman" w:eastAsia="Times New Roman" w:hAnsi="Times New Roman" w:cs="Times New Roman"/>
          <w:bCs/>
          <w:color w:val="333333"/>
          <w:sz w:val="24"/>
          <w:szCs w:val="24"/>
          <w:lang w:eastAsia="fr-FR"/>
        </w:rPr>
        <w:t xml:space="preserve"> le pouvoir de transiger</w:t>
      </w:r>
      <w:r w:rsidRPr="0034540D">
        <w:rPr>
          <w:rFonts w:ascii="Times New Roman" w:eastAsia="Times New Roman" w:hAnsi="Times New Roman" w:cs="Times New Roman"/>
          <w:b/>
          <w:bCs/>
          <w:color w:val="333333"/>
          <w:sz w:val="24"/>
          <w:szCs w:val="24"/>
          <w:lang w:eastAsia="fr-FR"/>
        </w:rPr>
        <w:t>.</w:t>
      </w:r>
    </w:p>
    <w:p w:rsidR="008E7BDA" w:rsidRPr="0034540D" w:rsidRDefault="008E7BDA"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eastAsia="Times New Roman" w:hAnsi="Times New Roman" w:cs="Times New Roman"/>
          <w:b/>
          <w:bCs/>
          <w:color w:val="333333"/>
          <w:sz w:val="24"/>
          <w:szCs w:val="24"/>
          <w:lang w:eastAsia="fr-FR"/>
        </w:rPr>
        <w:t xml:space="preserve">-------- </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Note : on entend par « poursuite »</w:t>
      </w:r>
      <w:r w:rsidRPr="0034540D">
        <w:rPr>
          <w:rStyle w:val="Appelnotedebasdep"/>
          <w:rFonts w:ascii="Times New Roman" w:hAnsi="Times New Roman" w:cs="Times New Roman"/>
          <w:sz w:val="24"/>
          <w:szCs w:val="24"/>
        </w:rPr>
        <w:t xml:space="preserve"> </w:t>
      </w:r>
      <w:r w:rsidRPr="0034540D">
        <w:rPr>
          <w:rStyle w:val="Appelnotedebasdep"/>
          <w:rFonts w:ascii="Times New Roman" w:hAnsi="Times New Roman" w:cs="Times New Roman"/>
          <w:sz w:val="24"/>
          <w:szCs w:val="24"/>
        </w:rPr>
        <w:footnoteReference w:id="50"/>
      </w:r>
      <w:r w:rsidRPr="0034540D">
        <w:rPr>
          <w:rFonts w:ascii="Times New Roman" w:hAnsi="Times New Roman" w:cs="Times New Roman"/>
          <w:sz w:val="24"/>
          <w:szCs w:val="24"/>
        </w:rPr>
        <w:t xml:space="preserve">, l’ensemble des actes accomplis par le Ministère Public, certaines administrations ou la victime d’une infraction, dans  le but de saisir les juridictions répressives compétentes et d’aboutir à la condamnation du coupable. Ainsi, en matière d’infraction aux changes,  la poursuite   est reconnue  au Ministre </w:t>
      </w:r>
      <w:r w:rsidRPr="0034540D">
        <w:rPr>
          <w:rFonts w:ascii="Times New Roman" w:hAnsi="Times New Roman" w:cs="Times New Roman"/>
          <w:sz w:val="24"/>
          <w:szCs w:val="24"/>
        </w:rPr>
        <w:lastRenderedPageBreak/>
        <w:t>chargé des Finances ou à l’un de ses représentants habilités à cet effet. En conséquence, toute poursuite intentée par une autre autorité entraine l’irrecevabilité de celle-ci.</w:t>
      </w:r>
    </w:p>
    <w:p w:rsidR="00DA2AE2" w:rsidRPr="0034540D" w:rsidRDefault="00DA2AE2" w:rsidP="001E5084">
      <w:pPr>
        <w:tabs>
          <w:tab w:val="left" w:pos="142"/>
          <w:tab w:val="left" w:pos="567"/>
          <w:tab w:val="left" w:pos="709"/>
        </w:tabs>
        <w:spacing w:line="360" w:lineRule="auto"/>
        <w:ind w:left="709"/>
        <w:jc w:val="both"/>
        <w:rPr>
          <w:rFonts w:ascii="Times New Roman" w:hAnsi="Times New Roman" w:cs="Times New Roman"/>
          <w:b/>
          <w:sz w:val="24"/>
          <w:szCs w:val="24"/>
        </w:rPr>
      </w:pPr>
      <w:r w:rsidRPr="0034540D">
        <w:rPr>
          <w:rFonts w:ascii="Times New Roman" w:eastAsia="Times New Roman" w:hAnsi="Times New Roman" w:cs="Times New Roman"/>
          <w:b/>
          <w:bCs/>
          <w:color w:val="212529"/>
          <w:kern w:val="36"/>
          <w:sz w:val="24"/>
          <w:szCs w:val="24"/>
          <w:lang w:eastAsia="fr-FR"/>
        </w:rPr>
        <w:t xml:space="preserve"> </w:t>
      </w:r>
      <w:r w:rsidRPr="0034540D">
        <w:rPr>
          <w:rFonts w:ascii="Times New Roman" w:hAnsi="Times New Roman" w:cs="Times New Roman"/>
          <w:b/>
          <w:sz w:val="24"/>
          <w:szCs w:val="24"/>
        </w:rPr>
        <w:t xml:space="preserve">Cour de Cassation, </w:t>
      </w:r>
      <w:r w:rsidRPr="0034540D">
        <w:rPr>
          <w:rFonts w:ascii="Times New Roman" w:eastAsia="Times New Roman" w:hAnsi="Times New Roman" w:cs="Times New Roman"/>
          <w:b/>
          <w:sz w:val="24"/>
          <w:szCs w:val="24"/>
          <w:lang w:eastAsia="fr-FR"/>
        </w:rPr>
        <w:t>Chambre Pénale,  arrêt n°5 du  4 Janvier 1994</w:t>
      </w:r>
      <w:r w:rsidRPr="0034540D">
        <w:rPr>
          <w:rFonts w:ascii="Times New Roman" w:hAnsi="Times New Roman" w:cs="Times New Roman"/>
          <w:b/>
          <w:sz w:val="24"/>
          <w:szCs w:val="24"/>
        </w:rPr>
        <w:t xml:space="preserve"> </w:t>
      </w:r>
    </w:p>
    <w:p w:rsidR="00DA2AE2" w:rsidRPr="0034540D" w:rsidRDefault="00DA2AE2" w:rsidP="001E5084">
      <w:pPr>
        <w:tabs>
          <w:tab w:val="left" w:pos="142"/>
          <w:tab w:val="left" w:pos="567"/>
          <w:tab w:val="left" w:pos="709"/>
        </w:tabs>
        <w:spacing w:line="360" w:lineRule="auto"/>
        <w:ind w:left="709"/>
        <w:jc w:val="both"/>
        <w:rPr>
          <w:rFonts w:ascii="Times New Roman" w:hAnsi="Times New Roman" w:cs="Times New Roman"/>
          <w:sz w:val="24"/>
          <w:szCs w:val="24"/>
          <w:lang w:eastAsia="fr-FR"/>
        </w:rPr>
      </w:pPr>
      <w:r w:rsidRPr="0034540D">
        <w:rPr>
          <w:rFonts w:ascii="Times New Roman" w:hAnsi="Times New Roman" w:cs="Times New Roman"/>
          <w:sz w:val="24"/>
          <w:szCs w:val="24"/>
          <w:lang w:eastAsia="fr-FR"/>
        </w:rPr>
        <w:t xml:space="preserve">ADMINISTRATION DES DOUANES C/ X A Z B </w:t>
      </w:r>
    </w:p>
    <w:p w:rsidR="00DA2AE2" w:rsidRPr="0034540D" w:rsidRDefault="00DA2AE2" w:rsidP="001E5084">
      <w:pPr>
        <w:tabs>
          <w:tab w:val="left" w:pos="142"/>
          <w:tab w:val="left" w:pos="567"/>
          <w:tab w:val="left" w:pos="709"/>
        </w:tabs>
        <w:spacing w:line="360" w:lineRule="auto"/>
        <w:ind w:left="709"/>
        <w:jc w:val="both"/>
        <w:rPr>
          <w:rFonts w:ascii="Times New Roman" w:eastAsia="Times New Roman" w:hAnsi="Times New Roman" w:cs="Times New Roman"/>
          <w:i/>
          <w:sz w:val="24"/>
          <w:szCs w:val="24"/>
          <w:lang w:eastAsia="fr-FR"/>
        </w:rPr>
      </w:pPr>
      <w:r w:rsidRPr="0034540D">
        <w:rPr>
          <w:rFonts w:ascii="Times New Roman" w:eastAsia="Times New Roman" w:hAnsi="Times New Roman" w:cs="Times New Roman"/>
          <w:i/>
          <w:sz w:val="24"/>
          <w:szCs w:val="24"/>
          <w:lang w:eastAsia="fr-FR"/>
        </w:rPr>
        <w:t>ATTENDU qu'aux termes des articles 1er et 17 de l'arrêté ministériel n° 2160 MEF/DGD/DERD du 14 mars 1981, la Direction Générale des Douanes est chargée notamment, de la recherche, de la constatation de la répression des infractions à la réglementation des changes et le chef de bureau des enquêtes et du contentieux a seul ou en partage avec le Ministère public, le droit d'agir et d'exercer des voies de recours;</w:t>
      </w:r>
      <w:r w:rsidRPr="0034540D">
        <w:rPr>
          <w:rFonts w:ascii="Times New Roman" w:eastAsia="Times New Roman" w:hAnsi="Times New Roman" w:cs="Times New Roman"/>
          <w:i/>
          <w:sz w:val="24"/>
          <w:szCs w:val="24"/>
          <w:lang w:eastAsia="fr-FR"/>
        </w:rPr>
        <w:br/>
        <w:t>Qu'il s'en déduit que l'Agence Judiciaire de l'Etat n'a pas qualité pour se pourvoir au lieu et place de l'Administration des Douanes;</w:t>
      </w:r>
      <w:r w:rsidRPr="0034540D">
        <w:rPr>
          <w:rFonts w:ascii="Times New Roman" w:eastAsia="Times New Roman" w:hAnsi="Times New Roman" w:cs="Times New Roman"/>
          <w:i/>
          <w:sz w:val="24"/>
          <w:szCs w:val="24"/>
          <w:lang w:eastAsia="fr-FR"/>
        </w:rPr>
        <w:br/>
        <w:t>Qu'en conséquence le pourvoi doit être déclaré irrecevable.</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Voir annexe</w:t>
      </w:r>
    </w:p>
    <w:p w:rsidR="00DA2AE2" w:rsidRPr="0034540D" w:rsidRDefault="00DA2AE2" w:rsidP="001E5084">
      <w:pPr>
        <w:tabs>
          <w:tab w:val="left" w:pos="142"/>
          <w:tab w:val="left" w:pos="567"/>
          <w:tab w:val="left" w:pos="709"/>
        </w:tabs>
        <w:spacing w:line="360" w:lineRule="auto"/>
        <w:ind w:left="567"/>
        <w:jc w:val="both"/>
        <w:rPr>
          <w:rFonts w:ascii="Times New Roman" w:hAnsi="Times New Roman" w:cs="Times New Roman"/>
          <w:b/>
          <w:i/>
          <w:sz w:val="24"/>
          <w:szCs w:val="24"/>
        </w:rPr>
      </w:pPr>
      <w:r w:rsidRPr="0034540D">
        <w:rPr>
          <w:rFonts w:ascii="Times New Roman" w:hAnsi="Times New Roman" w:cs="Times New Roman"/>
          <w:b/>
          <w:sz w:val="24"/>
          <w:szCs w:val="24"/>
        </w:rPr>
        <w:t xml:space="preserve"> Cour d’Appel de Kaolack, arrêt n°80 du 27 février 2008, MP c/ Babagallé TYA BALDE </w:t>
      </w:r>
    </w:p>
    <w:p w:rsidR="00DA2AE2" w:rsidRPr="0034540D" w:rsidRDefault="00DA2AE2" w:rsidP="001E5084">
      <w:pPr>
        <w:tabs>
          <w:tab w:val="left" w:pos="142"/>
          <w:tab w:val="left" w:pos="567"/>
          <w:tab w:val="left" w:pos="709"/>
        </w:tabs>
        <w:spacing w:line="360" w:lineRule="auto"/>
        <w:ind w:left="567"/>
        <w:jc w:val="both"/>
        <w:rPr>
          <w:rFonts w:ascii="Times New Roman" w:hAnsi="Times New Roman" w:cs="Times New Roman"/>
          <w:i/>
          <w:sz w:val="24"/>
          <w:szCs w:val="24"/>
        </w:rPr>
      </w:pPr>
      <w:r w:rsidRPr="0034540D">
        <w:rPr>
          <w:rFonts w:ascii="Times New Roman" w:hAnsi="Times New Roman" w:cs="Times New Roman"/>
          <w:i/>
          <w:sz w:val="24"/>
          <w:szCs w:val="24"/>
        </w:rPr>
        <w:t>Selon la Cour «  il n’apparait pas dans la procédure  que le  procès- verbal numéro 12 du 1 er février 2007  du Bureau de douane de Karang, constatant l’infraction au contrôle des changes reprochée au sieur BALDE a été transmis au Ministre de l’Economie, des Finances et du Plan ou à son représentant, seuls habilités à poursuivre l’infraction ; qu’au contraire, ce procès –verbal a été directement transmis au procureur de la République, comme en atteste lettre numéro 15 du 02 février 2007 du chef de bureau de Karang ;</w:t>
      </w:r>
    </w:p>
    <w:p w:rsidR="00DA2AE2" w:rsidRPr="0034540D" w:rsidRDefault="00DA2AE2" w:rsidP="001E5084">
      <w:pPr>
        <w:tabs>
          <w:tab w:val="left" w:pos="142"/>
          <w:tab w:val="left" w:pos="567"/>
          <w:tab w:val="left" w:pos="709"/>
        </w:tabs>
        <w:spacing w:line="360" w:lineRule="auto"/>
        <w:ind w:left="567"/>
        <w:jc w:val="both"/>
        <w:rPr>
          <w:rFonts w:ascii="Times New Roman" w:hAnsi="Times New Roman" w:cs="Times New Roman"/>
          <w:i/>
          <w:sz w:val="24"/>
          <w:szCs w:val="24"/>
        </w:rPr>
      </w:pPr>
      <w:r w:rsidRPr="0034540D">
        <w:rPr>
          <w:rFonts w:ascii="Times New Roman" w:hAnsi="Times New Roman" w:cs="Times New Roman"/>
          <w:i/>
          <w:sz w:val="24"/>
          <w:szCs w:val="24"/>
        </w:rPr>
        <w:t>Qu’il ne comporte pas la preuve de l’habilitation donnée par le Ministre de tutelle à qui est dévolu la faculté de transiger ou de déclencher  les poursuites ;</w:t>
      </w:r>
    </w:p>
    <w:p w:rsidR="00DA2AE2" w:rsidRPr="0034540D" w:rsidRDefault="00DA2AE2" w:rsidP="001E5084">
      <w:pPr>
        <w:tabs>
          <w:tab w:val="left" w:pos="142"/>
          <w:tab w:val="left" w:pos="567"/>
          <w:tab w:val="left" w:pos="709"/>
        </w:tabs>
        <w:spacing w:line="360" w:lineRule="auto"/>
        <w:ind w:left="567"/>
        <w:jc w:val="both"/>
        <w:rPr>
          <w:rFonts w:ascii="Times New Roman" w:hAnsi="Times New Roman" w:cs="Times New Roman"/>
          <w:sz w:val="24"/>
          <w:szCs w:val="24"/>
        </w:rPr>
      </w:pPr>
      <w:r w:rsidRPr="0034540D">
        <w:rPr>
          <w:rFonts w:ascii="Times New Roman" w:hAnsi="Times New Roman" w:cs="Times New Roman"/>
          <w:i/>
          <w:sz w:val="24"/>
          <w:szCs w:val="24"/>
        </w:rPr>
        <w:lastRenderedPageBreak/>
        <w:t>Qu’il échet au regard de toutes ces considérations de déclarer la procédure ainsi initiée contre Babagallé TYA BALDE irrégulière pour violation manifeste des dispositions susvisées »</w:t>
      </w:r>
      <w:r w:rsidRPr="0034540D">
        <w:rPr>
          <w:rStyle w:val="Appelnotedebasdep"/>
          <w:rFonts w:ascii="Times New Roman" w:hAnsi="Times New Roman" w:cs="Times New Roman"/>
          <w:i/>
          <w:sz w:val="24"/>
          <w:szCs w:val="24"/>
        </w:rPr>
        <w:footnoteReference w:id="51"/>
      </w:r>
      <w:r w:rsidRPr="0034540D">
        <w:rPr>
          <w:rFonts w:ascii="Times New Roman" w:hAnsi="Times New Roman" w:cs="Times New Roman"/>
          <w:i/>
          <w:sz w:val="24"/>
          <w:szCs w:val="24"/>
        </w:rPr>
        <w:t>.</w:t>
      </w:r>
      <w:r w:rsidRPr="0034540D">
        <w:rPr>
          <w:rFonts w:ascii="Times New Roman" w:hAnsi="Times New Roman" w:cs="Times New Roman"/>
          <w:sz w:val="24"/>
          <w:szCs w:val="24"/>
        </w:rPr>
        <w:t xml:space="preserve"> </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 xml:space="preserve">Voir annexe </w:t>
      </w:r>
    </w:p>
    <w:p w:rsidR="00DA2AE2" w:rsidRPr="0034540D" w:rsidRDefault="00DA2AE2" w:rsidP="001E5084">
      <w:pPr>
        <w:pStyle w:val="Paragraphedeliste"/>
        <w:numPr>
          <w:ilvl w:val="0"/>
          <w:numId w:val="33"/>
        </w:numPr>
        <w:shd w:val="clear" w:color="auto" w:fill="FFFFFF"/>
        <w:tabs>
          <w:tab w:val="left" w:pos="142"/>
          <w:tab w:val="left" w:pos="567"/>
          <w:tab w:val="left" w:pos="709"/>
        </w:tabs>
        <w:spacing w:after="120" w:line="360" w:lineRule="auto"/>
        <w:ind w:firstLine="0"/>
        <w:jc w:val="both"/>
        <w:outlineLvl w:val="0"/>
        <w:rPr>
          <w:rFonts w:ascii="Times New Roman" w:eastAsia="Times New Roman" w:hAnsi="Times New Roman" w:cs="Times New Roman"/>
          <w:b/>
          <w:color w:val="333333"/>
          <w:kern w:val="36"/>
          <w:sz w:val="24"/>
          <w:szCs w:val="24"/>
          <w:lang w:eastAsia="fr-FR"/>
        </w:rPr>
      </w:pPr>
      <w:r w:rsidRPr="0034540D">
        <w:rPr>
          <w:rFonts w:ascii="Times New Roman" w:eastAsia="Times New Roman" w:hAnsi="Times New Roman" w:cs="Times New Roman"/>
          <w:b/>
          <w:color w:val="333333"/>
          <w:kern w:val="36"/>
          <w:sz w:val="24"/>
          <w:szCs w:val="24"/>
          <w:lang w:eastAsia="fr-FR"/>
        </w:rPr>
        <w:t>La transaction</w:t>
      </w:r>
      <w:r w:rsidRPr="0034540D">
        <w:rPr>
          <w:rStyle w:val="Appelnotedebasdep"/>
          <w:rFonts w:ascii="Times New Roman" w:hAnsi="Times New Roman" w:cs="Times New Roman"/>
          <w:b/>
          <w:color w:val="333333"/>
          <w:sz w:val="24"/>
          <w:szCs w:val="24"/>
        </w:rPr>
        <w:footnoteReference w:id="52"/>
      </w:r>
    </w:p>
    <w:p w:rsidR="00DA2AE2" w:rsidRPr="0034540D" w:rsidRDefault="00DA2AE2" w:rsidP="001E5084">
      <w:pPr>
        <w:shd w:val="clear" w:color="auto" w:fill="FFFFFF"/>
        <w:tabs>
          <w:tab w:val="left" w:pos="142"/>
          <w:tab w:val="left" w:pos="567"/>
          <w:tab w:val="left" w:pos="709"/>
        </w:tabs>
        <w:spacing w:before="120" w:after="120" w:line="360" w:lineRule="auto"/>
        <w:jc w:val="both"/>
        <w:textAlignment w:val="top"/>
        <w:rPr>
          <w:rFonts w:ascii="Times New Roman" w:hAnsi="Times New Roman" w:cs="Times New Roman"/>
          <w:sz w:val="24"/>
          <w:szCs w:val="24"/>
        </w:rPr>
      </w:pPr>
      <w:r w:rsidRPr="0034540D">
        <w:rPr>
          <w:rFonts w:ascii="Times New Roman" w:eastAsia="Times New Roman" w:hAnsi="Times New Roman" w:cs="Times New Roman"/>
          <w:color w:val="353535"/>
          <w:sz w:val="24"/>
          <w:szCs w:val="24"/>
          <w:lang w:eastAsia="fr-FR"/>
        </w:rPr>
        <w:t>Si les agents habilités</w:t>
      </w:r>
      <w:r w:rsidRPr="0034540D">
        <w:rPr>
          <w:rStyle w:val="Appelnotedebasdep"/>
          <w:rFonts w:ascii="Times New Roman" w:hAnsi="Times New Roman" w:cs="Times New Roman"/>
          <w:color w:val="353535"/>
          <w:sz w:val="24"/>
          <w:szCs w:val="24"/>
        </w:rPr>
        <w:footnoteReference w:id="53"/>
      </w:r>
      <w:r w:rsidRPr="0034540D">
        <w:rPr>
          <w:rFonts w:ascii="Times New Roman" w:eastAsia="Times New Roman" w:hAnsi="Times New Roman" w:cs="Times New Roman"/>
          <w:color w:val="353535"/>
          <w:sz w:val="24"/>
          <w:szCs w:val="24"/>
          <w:lang w:eastAsia="fr-FR"/>
        </w:rPr>
        <w:t xml:space="preserve"> ont toujours joué un rôle essentiel dans la recherche et la constatation des infractions à la législation des changes, le pouvoir de décider de la suite à donner aux procès-verbaux dressés par eux est l’apanage du Ministre chargé des Finances pour les infractions commises par des auteurs autres que les établissements de crédit. Il décide donc souverainement de la suite à donner de ces procès verbaux dressés par ces fonctionnaires.  E</w:t>
      </w:r>
      <w:r w:rsidRPr="0034540D">
        <w:rPr>
          <w:rFonts w:ascii="Times New Roman" w:hAnsi="Times New Roman" w:cs="Times New Roman"/>
          <w:sz w:val="24"/>
          <w:szCs w:val="24"/>
        </w:rPr>
        <w:t xml:space="preserve">n vertu  </w:t>
      </w:r>
      <w:r w:rsidR="00FC57CE" w:rsidRPr="0034540D">
        <w:rPr>
          <w:rFonts w:ascii="Times New Roman" w:hAnsi="Times New Roman" w:cs="Times New Roman"/>
          <w:sz w:val="24"/>
          <w:szCs w:val="24"/>
        </w:rPr>
        <w:t xml:space="preserve"> de </w:t>
      </w:r>
      <w:r w:rsidRPr="0034540D">
        <w:rPr>
          <w:rFonts w:ascii="Times New Roman" w:hAnsi="Times New Roman" w:cs="Times New Roman"/>
          <w:sz w:val="24"/>
          <w:szCs w:val="24"/>
        </w:rPr>
        <w:t>l'article 16 de la loi n°2014-12, le Ministre chargé des Finances ou son représentant peut transiger avec les auteurs des infractions à la réglementation des changes  sous réserves  de certaines conditions à l’exception des établissements de crédit. Cepen</w:t>
      </w:r>
      <w:r w:rsidR="00E54F58" w:rsidRPr="0034540D">
        <w:rPr>
          <w:rFonts w:ascii="Times New Roman" w:hAnsi="Times New Roman" w:cs="Times New Roman"/>
          <w:sz w:val="24"/>
          <w:szCs w:val="24"/>
        </w:rPr>
        <w:t xml:space="preserve">dant il convient de distinguer </w:t>
      </w:r>
      <w:r w:rsidRPr="0034540D">
        <w:rPr>
          <w:rFonts w:ascii="Times New Roman" w:hAnsi="Times New Roman" w:cs="Times New Roman"/>
          <w:sz w:val="24"/>
          <w:szCs w:val="24"/>
        </w:rPr>
        <w:t>le moment de l’intervention de la transaction dés lors qu’on sait qu’elle a des effets tant sur l’action publique que sur celle fiscale.</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Lorsqu’aucune action judiciaire n’a été encore engagée, le décret n°2016-949</w:t>
      </w:r>
      <w:r w:rsidRPr="0034540D">
        <w:rPr>
          <w:rStyle w:val="Appelnotedebasdep"/>
          <w:rFonts w:ascii="Times New Roman" w:hAnsi="Times New Roman" w:cs="Times New Roman"/>
          <w:sz w:val="24"/>
          <w:szCs w:val="24"/>
        </w:rPr>
        <w:footnoteReference w:id="54"/>
      </w:r>
      <w:r w:rsidRPr="0034540D">
        <w:rPr>
          <w:rFonts w:ascii="Times New Roman" w:hAnsi="Times New Roman" w:cs="Times New Roman"/>
          <w:sz w:val="24"/>
          <w:szCs w:val="24"/>
        </w:rPr>
        <w:t xml:space="preserve"> du 12 juillet 2016 fixe les conditions d’acceptation des transactions </w:t>
      </w:r>
      <w:r w:rsidR="007D40D3" w:rsidRPr="0034540D">
        <w:rPr>
          <w:rFonts w:ascii="Times New Roman" w:hAnsi="Times New Roman" w:cs="Times New Roman"/>
          <w:sz w:val="24"/>
          <w:szCs w:val="24"/>
        </w:rPr>
        <w:t xml:space="preserve">avant la mise en œuvre  de l’action judiciaire </w:t>
      </w:r>
      <w:r w:rsidRPr="0034540D">
        <w:rPr>
          <w:rFonts w:ascii="Times New Roman" w:hAnsi="Times New Roman" w:cs="Times New Roman"/>
          <w:sz w:val="24"/>
          <w:szCs w:val="24"/>
        </w:rPr>
        <w:t xml:space="preserve">dans le cadre des infractions à la réglementation des relations financières extérieures  des Etats membres de l’UEMOA. Il résulte de ce décret  que toute personne physique ou morale autre que les établissements de crédit auteur ou </w:t>
      </w:r>
      <w:r w:rsidRPr="0034540D">
        <w:rPr>
          <w:rFonts w:ascii="Times New Roman" w:hAnsi="Times New Roman" w:cs="Times New Roman"/>
          <w:sz w:val="24"/>
          <w:szCs w:val="24"/>
        </w:rPr>
        <w:lastRenderedPageBreak/>
        <w:t>complice d’une infraction, d’une tentative d’infraction, ou d’une incitation à la commission de l’infraction à la réglementation  des changes  peut solliciter une transaction suivant les conditions définies par ledit décret.  Pour ce faire, elle ou son représentant  doit adresser une</w:t>
      </w:r>
      <w:r w:rsidRPr="0034540D">
        <w:rPr>
          <w:rFonts w:ascii="Times New Roman" w:hAnsi="Times New Roman" w:cs="Times New Roman"/>
          <w:color w:val="FF0000"/>
          <w:sz w:val="24"/>
          <w:szCs w:val="24"/>
        </w:rPr>
        <w:t xml:space="preserve"> </w:t>
      </w:r>
      <w:r w:rsidRPr="0034540D">
        <w:rPr>
          <w:rFonts w:ascii="Times New Roman" w:hAnsi="Times New Roman" w:cs="Times New Roman"/>
          <w:sz w:val="24"/>
          <w:szCs w:val="24"/>
        </w:rPr>
        <w:t>demande de transaction au Ministre chargé des Finances, soit dès le constat de l’infraction, de la tentative d’infraction ou de l’incitation à la commission de l’infraction à la réglementation des changes , soit dans un délai n’excédant pas huit jours calendaires, à compter de la date effective de notification à son auteur, du procès</w:t>
      </w:r>
      <w:r w:rsidRPr="0034540D">
        <w:rPr>
          <w:rFonts w:ascii="Cambria" w:hAnsi="Cambria" w:cs="Times New Roman"/>
          <w:sz w:val="24"/>
          <w:szCs w:val="24"/>
        </w:rPr>
        <w:t>‐</w:t>
      </w:r>
      <w:r w:rsidRPr="0034540D">
        <w:rPr>
          <w:rFonts w:ascii="Times New Roman" w:hAnsi="Times New Roman" w:cs="Times New Roman"/>
          <w:sz w:val="24"/>
          <w:szCs w:val="24"/>
        </w:rPr>
        <w:t>verbal constatant l’infraction, la tentative d’infraction ou l’incitation à la commission de l’infraction. Il y a lieu de noter  que plus ou moins de liberté est  laissée au Ministre chargé des Finances selon le montant de la transaction qui, comme on le</w:t>
      </w:r>
      <w:r w:rsidR="00FC57CE" w:rsidRPr="0034540D">
        <w:rPr>
          <w:rFonts w:ascii="Times New Roman" w:hAnsi="Times New Roman" w:cs="Times New Roman"/>
          <w:sz w:val="24"/>
          <w:szCs w:val="24"/>
        </w:rPr>
        <w:t xml:space="preserve"> </w:t>
      </w:r>
      <w:r w:rsidRPr="0034540D">
        <w:rPr>
          <w:rFonts w:ascii="Times New Roman" w:hAnsi="Times New Roman" w:cs="Times New Roman"/>
          <w:sz w:val="24"/>
          <w:szCs w:val="24"/>
        </w:rPr>
        <w:t>sait porte sur une somme d’argent. Ainsi Lorsque l’infraction, la tentative d’infraction ou l’incitation à la commission de l’infraction à la législation des changes  porte sur une somme ou une valeur supérieure ou égale à cent millions (100.000.000) de FCFA, la transaction ne peut être acceptée que par le Ministre chargé</w:t>
      </w:r>
      <w:r w:rsidRPr="0034540D">
        <w:rPr>
          <w:rFonts w:ascii="Times New Roman" w:eastAsia="Times New Roman" w:hAnsi="Times New Roman" w:cs="Times New Roman"/>
          <w:color w:val="FF0000"/>
          <w:sz w:val="24"/>
          <w:szCs w:val="24"/>
          <w:lang w:eastAsia="fr-FR"/>
        </w:rPr>
        <w:t xml:space="preserve"> </w:t>
      </w:r>
      <w:r w:rsidRPr="0034540D">
        <w:rPr>
          <w:rFonts w:ascii="Times New Roman" w:hAnsi="Times New Roman" w:cs="Times New Roman"/>
          <w:sz w:val="24"/>
          <w:szCs w:val="24"/>
        </w:rPr>
        <w:t xml:space="preserve">des Finances ou, par délégation, par le Directeur général des Douanes, le Directeur général du Trésor ou le Directeur de la Monnaie et du Crédit.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Lorsque l’infraction, la tentative d’infraction ou l’incitation à la commission de l’infraction à la réglementation des changes  porte sur une somme ou une valeur supérieure ou égale à cinq cent millions (500.000.000) de FCFA, le Ministre chargé des Finances est tenu de recueillir l’avis de la Commission du Contentieux des infractions à la réglementation des relations financières extérieures des Etats membres de l’Union économique et monétaire ouest africaine (UEMOA), avant de se prononcer sur la demande de transaction.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Lorsque l’infraction, la tentative d’infraction ou l’incitation à la commission de</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l’infraction porte sur une somme ou une valeur inférieure au seuil visé à l’alinéa 1er du</w:t>
      </w:r>
      <w:r w:rsidR="00FC57CE" w:rsidRPr="0034540D">
        <w:rPr>
          <w:rFonts w:ascii="Times New Roman" w:hAnsi="Times New Roman" w:cs="Times New Roman"/>
          <w:sz w:val="24"/>
          <w:szCs w:val="24"/>
        </w:rPr>
        <w:t xml:space="preserve"> </w:t>
      </w:r>
      <w:r w:rsidRPr="0034540D">
        <w:rPr>
          <w:rFonts w:ascii="Times New Roman" w:hAnsi="Times New Roman" w:cs="Times New Roman"/>
          <w:sz w:val="24"/>
          <w:szCs w:val="24"/>
        </w:rPr>
        <w:t>présent article, la transaction peut être acceptée par un représentant du Ministre chargé des Finances.</w:t>
      </w:r>
    </w:p>
    <w:p w:rsidR="00E54F58" w:rsidRPr="0034540D" w:rsidRDefault="00E54F58" w:rsidP="001E5084">
      <w:pPr>
        <w:tabs>
          <w:tab w:val="left" w:pos="142"/>
          <w:tab w:val="left" w:pos="567"/>
          <w:tab w:val="left" w:pos="709"/>
        </w:tabs>
        <w:autoSpaceDE w:val="0"/>
        <w:autoSpaceDN w:val="0"/>
        <w:adjustRightInd w:val="0"/>
        <w:spacing w:after="0" w:line="360" w:lineRule="auto"/>
        <w:ind w:left="2127"/>
        <w:jc w:val="both"/>
        <w:rPr>
          <w:rFonts w:ascii="Times New Roman" w:hAnsi="Times New Roman" w:cs="Times New Roman"/>
          <w:b/>
          <w:i/>
          <w:sz w:val="24"/>
          <w:szCs w:val="24"/>
        </w:rPr>
      </w:pPr>
    </w:p>
    <w:p w:rsidR="00E54F58" w:rsidRPr="0034540D" w:rsidRDefault="00E54F58" w:rsidP="001E5084">
      <w:pPr>
        <w:tabs>
          <w:tab w:val="left" w:pos="142"/>
          <w:tab w:val="left" w:pos="567"/>
          <w:tab w:val="left" w:pos="709"/>
        </w:tabs>
        <w:autoSpaceDE w:val="0"/>
        <w:autoSpaceDN w:val="0"/>
        <w:adjustRightInd w:val="0"/>
        <w:spacing w:after="0" w:line="360" w:lineRule="auto"/>
        <w:ind w:left="2127"/>
        <w:jc w:val="both"/>
        <w:rPr>
          <w:rFonts w:ascii="Times New Roman" w:hAnsi="Times New Roman" w:cs="Times New Roman"/>
          <w:i/>
          <w:sz w:val="24"/>
          <w:szCs w:val="24"/>
        </w:rPr>
      </w:pPr>
      <w:r w:rsidRPr="0034540D">
        <w:rPr>
          <w:rFonts w:ascii="Times New Roman" w:hAnsi="Times New Roman" w:cs="Times New Roman"/>
          <w:b/>
          <w:i/>
          <w:sz w:val="24"/>
          <w:szCs w:val="24"/>
        </w:rPr>
        <w:t>Note </w:t>
      </w:r>
      <w:r w:rsidRPr="0034540D">
        <w:rPr>
          <w:rFonts w:ascii="Times New Roman" w:hAnsi="Times New Roman" w:cs="Times New Roman"/>
          <w:i/>
          <w:sz w:val="24"/>
          <w:szCs w:val="24"/>
        </w:rPr>
        <w:t xml:space="preserve">:il est important de préciser que le décret  relatif à la composition ,à l’attribution et au fonctionnement de la Commission du Contentieux des infractions à la réglementation des relations financières extérieures des Etats membres de l’Union économique et monétaire ouest africaine (UEMOA) n’a pas été encore adopté au Sénégal. </w:t>
      </w:r>
    </w:p>
    <w:p w:rsidR="00E54F58" w:rsidRPr="0034540D" w:rsidRDefault="00E54F58" w:rsidP="001E5084">
      <w:pPr>
        <w:tabs>
          <w:tab w:val="left" w:pos="142"/>
          <w:tab w:val="left" w:pos="567"/>
          <w:tab w:val="left" w:pos="709"/>
        </w:tabs>
        <w:autoSpaceDE w:val="0"/>
        <w:autoSpaceDN w:val="0"/>
        <w:adjustRightInd w:val="0"/>
        <w:spacing w:after="0" w:line="360" w:lineRule="auto"/>
        <w:ind w:left="2127"/>
        <w:jc w:val="both"/>
        <w:rPr>
          <w:rFonts w:ascii="Times New Roman" w:hAnsi="Times New Roman" w:cs="Times New Roman"/>
          <w:i/>
          <w:sz w:val="24"/>
          <w:szCs w:val="24"/>
        </w:rPr>
      </w:pP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eastAsia="Times New Roman" w:hAnsi="Times New Roman" w:cs="Times New Roman"/>
          <w:color w:val="353535"/>
          <w:sz w:val="24"/>
          <w:szCs w:val="24"/>
          <w:lang w:eastAsia="fr-FR"/>
        </w:rPr>
      </w:pPr>
      <w:r w:rsidRPr="0034540D">
        <w:rPr>
          <w:rFonts w:ascii="Times New Roman" w:hAnsi="Times New Roman" w:cs="Times New Roman"/>
          <w:sz w:val="24"/>
          <w:szCs w:val="24"/>
        </w:rPr>
        <w:t xml:space="preserve">En cas  d’acceptation de l’offre </w:t>
      </w:r>
      <w:r w:rsidRPr="0034540D">
        <w:rPr>
          <w:rFonts w:ascii="Times New Roman" w:eastAsia="Times New Roman" w:hAnsi="Times New Roman" w:cs="Times New Roman"/>
          <w:color w:val="FF0000"/>
          <w:sz w:val="24"/>
          <w:szCs w:val="24"/>
          <w:lang w:eastAsia="fr-FR"/>
        </w:rPr>
        <w:t xml:space="preserve"> de transaction par </w:t>
      </w:r>
      <w:r w:rsidRPr="0034540D">
        <w:rPr>
          <w:rFonts w:ascii="Times New Roman" w:eastAsia="Times New Roman" w:hAnsi="Times New Roman" w:cs="Times New Roman"/>
          <w:color w:val="353535"/>
          <w:sz w:val="24"/>
          <w:szCs w:val="24"/>
          <w:lang w:eastAsia="fr-FR"/>
        </w:rPr>
        <w:t xml:space="preserve"> </w:t>
      </w:r>
      <w:r w:rsidRPr="0034540D">
        <w:rPr>
          <w:rFonts w:ascii="Times New Roman" w:hAnsi="Times New Roman" w:cs="Times New Roman"/>
          <w:sz w:val="24"/>
          <w:szCs w:val="24"/>
        </w:rPr>
        <w:t xml:space="preserve">le Ministre chargé des finances  ou son représentant, le montant </w:t>
      </w:r>
      <w:r w:rsidRPr="0034540D">
        <w:rPr>
          <w:rFonts w:ascii="Times New Roman" w:eastAsia="Times New Roman" w:hAnsi="Times New Roman" w:cs="Times New Roman"/>
          <w:color w:val="353535"/>
          <w:sz w:val="24"/>
          <w:szCs w:val="24"/>
          <w:lang w:eastAsia="fr-FR"/>
        </w:rPr>
        <w:t xml:space="preserve">et le délai    de paiement dudit  montant sont fixés par celui-ci. Ce  montant </w:t>
      </w:r>
      <w:r w:rsidRPr="0034540D">
        <w:rPr>
          <w:rFonts w:ascii="Times New Roman" w:hAnsi="Times New Roman" w:cs="Times New Roman"/>
          <w:sz w:val="24"/>
          <w:szCs w:val="24"/>
        </w:rPr>
        <w:t xml:space="preserve">doit être au minimum égal au cinquième de la somme ou valeur sur laquelle a porté l’infraction, la tentative d’infraction ou l’incitation à la commission de l’infraction à la réglementation des changes et ne peut excéder ladite somme ou valeur. Quant au délai de règlement du montant de la transaction ne peut excéder six mois à compter de la date de notification au Ministre chargé des Finances, de l’acceptation par le requérant des conditions de la transaction. Lorsqu’elle est </w:t>
      </w:r>
      <w:r w:rsidRPr="0034540D">
        <w:rPr>
          <w:rFonts w:ascii="Times New Roman" w:eastAsia="Times New Roman" w:hAnsi="Times New Roman" w:cs="Times New Roman"/>
          <w:color w:val="353535"/>
          <w:sz w:val="24"/>
          <w:szCs w:val="24"/>
          <w:lang w:eastAsia="fr-FR"/>
        </w:rPr>
        <w:t xml:space="preserve">exécutée   dans le délai prescrit et dans les conditions fixées,  la transaction a comme conséquence  l’extinction définitive de l’action </w:t>
      </w:r>
      <w:r w:rsidRPr="0034540D">
        <w:rPr>
          <w:rFonts w:ascii="Times New Roman" w:hAnsi="Times New Roman" w:cs="Times New Roman"/>
          <w:sz w:val="24"/>
          <w:szCs w:val="24"/>
        </w:rPr>
        <w:t>tant publique que fiscale</w:t>
      </w:r>
      <w:r w:rsidRPr="0034540D">
        <w:rPr>
          <w:rFonts w:ascii="Times New Roman" w:eastAsia="Times New Roman" w:hAnsi="Times New Roman" w:cs="Times New Roman"/>
          <w:color w:val="353535"/>
          <w:sz w:val="24"/>
          <w:szCs w:val="24"/>
          <w:lang w:eastAsia="fr-FR"/>
        </w:rPr>
        <w:t xml:space="preserve">.  </w:t>
      </w:r>
    </w:p>
    <w:p w:rsidR="00DA2AE2" w:rsidRPr="0034540D" w:rsidRDefault="00DA2AE2" w:rsidP="001E5084">
      <w:pPr>
        <w:tabs>
          <w:tab w:val="left" w:pos="142"/>
          <w:tab w:val="left" w:pos="567"/>
          <w:tab w:val="left" w:pos="709"/>
        </w:tabs>
        <w:spacing w:line="360" w:lineRule="auto"/>
        <w:ind w:left="1985"/>
        <w:jc w:val="both"/>
        <w:rPr>
          <w:rFonts w:ascii="Times New Roman" w:hAnsi="Times New Roman" w:cs="Times New Roman"/>
          <w:b/>
          <w:sz w:val="24"/>
          <w:szCs w:val="24"/>
        </w:rPr>
      </w:pPr>
      <w:r w:rsidRPr="0034540D">
        <w:rPr>
          <w:rFonts w:ascii="Times New Roman" w:hAnsi="Times New Roman" w:cs="Times New Roman"/>
          <w:b/>
          <w:sz w:val="24"/>
          <w:szCs w:val="24"/>
        </w:rPr>
        <w:t>Note 1 : Cour de Suprême, arrêt n°11 du 18 mars 1972,        MP c  / Alfred ANDRE</w:t>
      </w:r>
    </w:p>
    <w:p w:rsidR="00DA2AE2" w:rsidRPr="0034540D" w:rsidRDefault="00DA2AE2" w:rsidP="001E5084">
      <w:pPr>
        <w:tabs>
          <w:tab w:val="left" w:pos="142"/>
          <w:tab w:val="left" w:pos="567"/>
          <w:tab w:val="left" w:pos="709"/>
        </w:tabs>
        <w:spacing w:line="360" w:lineRule="auto"/>
        <w:ind w:left="1985"/>
        <w:jc w:val="both"/>
        <w:rPr>
          <w:rFonts w:ascii="Times New Roman" w:hAnsi="Times New Roman" w:cs="Times New Roman"/>
          <w:i/>
          <w:sz w:val="24"/>
          <w:szCs w:val="24"/>
        </w:rPr>
      </w:pPr>
      <w:r w:rsidRPr="0034540D">
        <w:rPr>
          <w:rFonts w:ascii="Times New Roman" w:hAnsi="Times New Roman" w:cs="Times New Roman"/>
          <w:i/>
          <w:sz w:val="24"/>
          <w:szCs w:val="24"/>
        </w:rPr>
        <w:t>« Il n’y a pas lieu  à statuer lorsque l’action publique  s’est trouvée éteinte  par suite d’une transaction intervenue  entre le demandeur au pourvoi et l’Administration des douanes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eastAsia="Times New Roman" w:hAnsi="Times New Roman" w:cs="Times New Roman"/>
          <w:color w:val="353535"/>
          <w:sz w:val="24"/>
          <w:szCs w:val="24"/>
          <w:lang w:eastAsia="fr-FR"/>
        </w:rPr>
      </w:pPr>
      <w:r w:rsidRPr="0034540D">
        <w:rPr>
          <w:rFonts w:ascii="Times New Roman" w:eastAsia="Times New Roman" w:hAnsi="Times New Roman" w:cs="Times New Roman"/>
          <w:color w:val="353535"/>
          <w:sz w:val="24"/>
          <w:szCs w:val="24"/>
          <w:lang w:eastAsia="fr-FR"/>
        </w:rPr>
        <w:t xml:space="preserve">En cas de désaccord ou d’absence de réponse dans le délai qui lui est imparti ou d’inexécution des termes de la transaction de sa part après mise en demeure de s’exécuter dans un délai de jours calendaires, le dossier est transmis au Procureur de la République compétent  mois accordé par le Ministre à moins qu’il n’ait bénéficié d’un moratoire n’excédant pas trois (03)par le Ministre chargé des finances ou son représentant. Encas de décès de l’auteur de l’infraction ou est mis en redressement judiciaire ou en liquidation des biens avant qu’une transaction </w:t>
      </w:r>
      <w:r w:rsidRPr="0034540D">
        <w:rPr>
          <w:rFonts w:ascii="Times New Roman" w:hAnsi="Times New Roman" w:cs="Times New Roman"/>
          <w:sz w:val="24"/>
          <w:szCs w:val="24"/>
        </w:rPr>
        <w:t xml:space="preserve">ses héritiers, l’administrateur ou le syndic peuvent solliciter une transaction suivant les modalités fixées  le décret 2016-949 du 12juillet 2016 sus visé. </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Cependant au cas où l’action publique a été déjà mise en œuvre, il ya lieu de distinguer deux situations. Avant l’intervention d’un jugement de l’infraction,  la transaction ne peut être  acceptée que par le Ministre chargé des Finances   et après avis du Procureur de la République  et dans ce cas elle suspend l’action publique. Après un jugement définitif, elle ne peut être acceptée que  par décision conjointe du Ministre chargé des Finances et du Ministre de la Justice  et ne peut porter que sur les confiscations et autres condamnations pécuniaires.  La transaction est cependant </w:t>
      </w:r>
      <w:r w:rsidRPr="0034540D">
        <w:rPr>
          <w:rFonts w:ascii="Times New Roman" w:hAnsi="Times New Roman" w:cs="Times New Roman"/>
          <w:sz w:val="24"/>
          <w:szCs w:val="24"/>
        </w:rPr>
        <w:lastRenderedPageBreak/>
        <w:t>personnelle et ne fait pas obstacle à la continuation des poursuites tant publique que fiscale à l’égard des coauteurs et complices.</w:t>
      </w:r>
    </w:p>
    <w:p w:rsidR="00DA2AE2" w:rsidRPr="0034540D" w:rsidRDefault="00DA2AE2" w:rsidP="001E5084">
      <w:pPr>
        <w:tabs>
          <w:tab w:val="left" w:pos="142"/>
          <w:tab w:val="left" w:pos="567"/>
          <w:tab w:val="left" w:pos="709"/>
        </w:tabs>
        <w:spacing w:line="360" w:lineRule="auto"/>
        <w:ind w:left="2410"/>
        <w:jc w:val="both"/>
        <w:rPr>
          <w:rFonts w:ascii="Times New Roman" w:hAnsi="Times New Roman" w:cs="Times New Roman"/>
          <w:b/>
          <w:sz w:val="24"/>
          <w:szCs w:val="24"/>
        </w:rPr>
      </w:pPr>
      <w:r w:rsidRPr="0034540D">
        <w:rPr>
          <w:rFonts w:ascii="Times New Roman" w:hAnsi="Times New Roman" w:cs="Times New Roman"/>
          <w:b/>
          <w:sz w:val="24"/>
          <w:szCs w:val="24"/>
        </w:rPr>
        <w:t>Note 2 : Cour Suprême, arrêt n°  du 25 novembre 1967, MP et Administration des douanes c/André BARRALON et Neyef DERWICHE</w:t>
      </w:r>
    </w:p>
    <w:p w:rsidR="00DA2AE2" w:rsidRPr="0034540D" w:rsidRDefault="00DA2AE2" w:rsidP="001E5084">
      <w:pPr>
        <w:tabs>
          <w:tab w:val="left" w:pos="142"/>
          <w:tab w:val="left" w:pos="567"/>
          <w:tab w:val="left" w:pos="709"/>
        </w:tabs>
        <w:spacing w:line="360" w:lineRule="auto"/>
        <w:ind w:left="2410"/>
        <w:jc w:val="both"/>
        <w:rPr>
          <w:rFonts w:ascii="Times New Roman" w:hAnsi="Times New Roman" w:cs="Times New Roman"/>
          <w:i/>
          <w:sz w:val="24"/>
          <w:szCs w:val="24"/>
        </w:rPr>
      </w:pPr>
      <w:r w:rsidRPr="0034540D">
        <w:rPr>
          <w:rFonts w:ascii="Times New Roman" w:hAnsi="Times New Roman" w:cs="Times New Roman"/>
          <w:i/>
          <w:sz w:val="24"/>
          <w:szCs w:val="24"/>
        </w:rPr>
        <w:t>« Attendu que Bourgi a bénéficié d’une transaction qui a éteint l’action publique ; qu’à son égard, les pourvois qui ont été formés sont désormais sans objet et qu’il n’y a pas lieu  de statuer sur son cas …..».</w:t>
      </w:r>
    </w:p>
    <w:p w:rsidR="00DA2AE2" w:rsidRPr="0034540D" w:rsidRDefault="00DA2AE2" w:rsidP="001E5084">
      <w:pPr>
        <w:tabs>
          <w:tab w:val="left" w:pos="142"/>
          <w:tab w:val="left" w:pos="567"/>
          <w:tab w:val="left" w:pos="709"/>
        </w:tabs>
        <w:spacing w:line="360" w:lineRule="auto"/>
        <w:ind w:left="2410"/>
        <w:jc w:val="both"/>
        <w:rPr>
          <w:rFonts w:ascii="Times New Roman" w:hAnsi="Times New Roman" w:cs="Times New Roman"/>
          <w:i/>
          <w:sz w:val="24"/>
          <w:szCs w:val="24"/>
        </w:rPr>
      </w:pPr>
      <w:r w:rsidRPr="0034540D">
        <w:rPr>
          <w:rFonts w:ascii="Times New Roman" w:hAnsi="Times New Roman" w:cs="Times New Roman"/>
          <w:i/>
          <w:sz w:val="24"/>
          <w:szCs w:val="24"/>
        </w:rPr>
        <w:t>Voir annexe</w:t>
      </w:r>
    </w:p>
    <w:p w:rsidR="00DA2AE2" w:rsidRPr="0034540D" w:rsidRDefault="00DA2AE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p>
    <w:p w:rsidR="00DA2AE2" w:rsidRPr="0034540D" w:rsidRDefault="0015323C" w:rsidP="001E5084">
      <w:pPr>
        <w:shd w:val="clear" w:color="auto" w:fill="FFFFFF"/>
        <w:tabs>
          <w:tab w:val="left" w:pos="142"/>
          <w:tab w:val="left" w:pos="567"/>
          <w:tab w:val="left" w:pos="709"/>
        </w:tabs>
        <w:spacing w:before="120" w:after="120" w:line="360" w:lineRule="auto"/>
        <w:jc w:val="both"/>
        <w:textAlignment w:val="top"/>
        <w:rPr>
          <w:rFonts w:ascii="Times New Roman" w:eastAsia="Times New Roman" w:hAnsi="Times New Roman" w:cs="Times New Roman"/>
          <w:color w:val="353535"/>
          <w:sz w:val="24"/>
          <w:szCs w:val="24"/>
          <w:lang w:eastAsia="fr-FR"/>
        </w:rPr>
      </w:pPr>
      <w:r w:rsidRPr="0034540D">
        <w:rPr>
          <w:rFonts w:ascii="Times New Roman" w:eastAsia="Times New Roman" w:hAnsi="Times New Roman" w:cs="Times New Roman"/>
          <w:b/>
          <w:color w:val="353535"/>
          <w:sz w:val="24"/>
          <w:szCs w:val="24"/>
          <w:lang w:eastAsia="fr-FR"/>
        </w:rPr>
        <w:t>Note :</w:t>
      </w:r>
      <w:r w:rsidRPr="0034540D">
        <w:rPr>
          <w:rFonts w:ascii="Times New Roman" w:eastAsia="Times New Roman" w:hAnsi="Times New Roman" w:cs="Times New Roman"/>
          <w:color w:val="353535"/>
          <w:sz w:val="24"/>
          <w:szCs w:val="24"/>
          <w:lang w:eastAsia="fr-FR"/>
        </w:rPr>
        <w:t xml:space="preserve"> </w:t>
      </w:r>
      <w:r w:rsidR="00DA2AE2" w:rsidRPr="0034540D">
        <w:rPr>
          <w:rFonts w:ascii="Times New Roman" w:eastAsia="Times New Roman" w:hAnsi="Times New Roman" w:cs="Times New Roman"/>
          <w:color w:val="353535"/>
          <w:sz w:val="24"/>
          <w:szCs w:val="24"/>
          <w:lang w:eastAsia="fr-FR"/>
        </w:rPr>
        <w:t xml:space="preserve">La transaction revêt en pratique une importance considérable. Elle est devenue dans bien des matières comme celle des changes le point normal d’aboutissement des poursuites. </w:t>
      </w:r>
      <w:r w:rsidR="00DA2AE2" w:rsidRPr="0034540D">
        <w:rPr>
          <w:rFonts w:ascii="Times New Roman" w:hAnsi="Times New Roman" w:cs="Times New Roman"/>
          <w:sz w:val="24"/>
          <w:szCs w:val="24"/>
        </w:rPr>
        <w:t xml:space="preserve"> </w:t>
      </w:r>
      <w:r w:rsidR="00DA2AE2" w:rsidRPr="0034540D">
        <w:rPr>
          <w:rFonts w:ascii="Times New Roman" w:eastAsia="Times New Roman" w:hAnsi="Times New Roman" w:cs="Times New Roman"/>
          <w:color w:val="353535"/>
          <w:sz w:val="24"/>
          <w:szCs w:val="24"/>
          <w:lang w:eastAsia="fr-FR"/>
        </w:rPr>
        <w:t xml:space="preserve">En effet, seules les affaires qui n’ont pu se régler « à l’amiable » seront, le cas échéant, transmises pour suite au parquet. La reconnaissance à l’administration de ce pouvoir de transiger peut se comprendre puisque accordé à un corps de fonctionnaires spécialisés dans des matières techniques comme les changes. La  conclusion d’une transaction met rapidement fin à la situation délictueuse ; judicieusement appliquée, la transaction permet de faire un tri préalable entre les infractions qui méritent une répression pénale et les autres. </w:t>
      </w:r>
    </w:p>
    <w:p w:rsidR="00DA2AE2" w:rsidRPr="0034540D" w:rsidRDefault="00DA2AE2" w:rsidP="001E5084">
      <w:pPr>
        <w:shd w:val="clear" w:color="auto" w:fill="FFFFFF"/>
        <w:tabs>
          <w:tab w:val="left" w:pos="142"/>
          <w:tab w:val="left" w:pos="567"/>
          <w:tab w:val="left" w:pos="709"/>
        </w:tabs>
        <w:spacing w:before="120" w:after="120" w:line="360" w:lineRule="auto"/>
        <w:jc w:val="both"/>
        <w:textAlignment w:val="top"/>
        <w:rPr>
          <w:rFonts w:ascii="Times New Roman" w:eastAsia="Times New Roman" w:hAnsi="Times New Roman" w:cs="Times New Roman"/>
          <w:color w:val="353535"/>
          <w:sz w:val="24"/>
          <w:szCs w:val="24"/>
          <w:lang w:eastAsia="fr-FR"/>
        </w:rPr>
      </w:pPr>
      <w:r w:rsidRPr="0034540D">
        <w:rPr>
          <w:rFonts w:ascii="Times New Roman" w:eastAsia="Times New Roman" w:hAnsi="Times New Roman" w:cs="Times New Roman"/>
          <w:color w:val="353535"/>
          <w:sz w:val="24"/>
          <w:szCs w:val="24"/>
          <w:lang w:eastAsia="fr-FR"/>
        </w:rPr>
        <w:t>Par ailleurs, l’on ne peut reprocher à cette procédure de distraire le prévenu de son juge naturel puisque la transaction ne lui est pas imposée, mais doit être  demandée et acceptée par lui.</w:t>
      </w:r>
    </w:p>
    <w:p w:rsidR="006C4466" w:rsidRPr="0034540D" w:rsidRDefault="006C4466" w:rsidP="001E5084">
      <w:pPr>
        <w:shd w:val="clear" w:color="auto" w:fill="FFFFFF"/>
        <w:tabs>
          <w:tab w:val="left" w:pos="142"/>
          <w:tab w:val="left" w:pos="567"/>
          <w:tab w:val="left" w:pos="709"/>
        </w:tabs>
        <w:spacing w:before="120" w:after="120" w:line="360" w:lineRule="auto"/>
        <w:jc w:val="both"/>
        <w:textAlignment w:val="top"/>
        <w:rPr>
          <w:rFonts w:ascii="Times New Roman" w:eastAsia="Times New Roman" w:hAnsi="Times New Roman" w:cs="Times New Roman"/>
          <w:color w:val="353535"/>
          <w:sz w:val="24"/>
          <w:szCs w:val="24"/>
          <w:lang w:eastAsia="fr-FR"/>
        </w:rPr>
      </w:pPr>
    </w:p>
    <w:p w:rsidR="006C4466" w:rsidRPr="0034540D" w:rsidRDefault="006C4466" w:rsidP="001E5084">
      <w:pPr>
        <w:shd w:val="clear" w:color="auto" w:fill="FFFFFF"/>
        <w:tabs>
          <w:tab w:val="left" w:pos="142"/>
          <w:tab w:val="left" w:pos="567"/>
          <w:tab w:val="left" w:pos="709"/>
        </w:tabs>
        <w:spacing w:before="120" w:after="120" w:line="360" w:lineRule="auto"/>
        <w:jc w:val="both"/>
        <w:textAlignment w:val="top"/>
        <w:rPr>
          <w:rFonts w:ascii="Times New Roman" w:eastAsia="Times New Roman" w:hAnsi="Times New Roman" w:cs="Times New Roman"/>
          <w:color w:val="353535"/>
          <w:sz w:val="24"/>
          <w:szCs w:val="24"/>
          <w:lang w:eastAsia="fr-FR"/>
        </w:rPr>
      </w:pPr>
    </w:p>
    <w:p w:rsidR="006C4466" w:rsidRPr="0034540D" w:rsidRDefault="006C4466" w:rsidP="001E5084">
      <w:pPr>
        <w:shd w:val="clear" w:color="auto" w:fill="FFFFFF"/>
        <w:tabs>
          <w:tab w:val="left" w:pos="142"/>
          <w:tab w:val="left" w:pos="567"/>
          <w:tab w:val="left" w:pos="709"/>
        </w:tabs>
        <w:spacing w:before="120" w:after="120" w:line="360" w:lineRule="auto"/>
        <w:jc w:val="both"/>
        <w:textAlignment w:val="top"/>
        <w:rPr>
          <w:rFonts w:ascii="Times New Roman" w:eastAsia="Times New Roman" w:hAnsi="Times New Roman" w:cs="Times New Roman"/>
          <w:color w:val="353535"/>
          <w:sz w:val="24"/>
          <w:szCs w:val="24"/>
          <w:lang w:eastAsia="fr-FR"/>
        </w:rPr>
      </w:pPr>
    </w:p>
    <w:p w:rsidR="006C4466" w:rsidRPr="0034540D" w:rsidRDefault="006C4466" w:rsidP="001E5084">
      <w:pPr>
        <w:shd w:val="clear" w:color="auto" w:fill="FFFFFF"/>
        <w:tabs>
          <w:tab w:val="left" w:pos="142"/>
          <w:tab w:val="left" w:pos="567"/>
          <w:tab w:val="left" w:pos="709"/>
        </w:tabs>
        <w:spacing w:before="120" w:after="120" w:line="360" w:lineRule="auto"/>
        <w:jc w:val="both"/>
        <w:textAlignment w:val="top"/>
        <w:rPr>
          <w:rFonts w:ascii="Times New Roman" w:eastAsia="Times New Roman" w:hAnsi="Times New Roman" w:cs="Times New Roman"/>
          <w:color w:val="353535"/>
          <w:sz w:val="24"/>
          <w:szCs w:val="24"/>
          <w:lang w:eastAsia="fr-FR"/>
        </w:rPr>
      </w:pPr>
    </w:p>
    <w:p w:rsidR="00DA2AE2" w:rsidRPr="0034540D" w:rsidRDefault="00DA2AE2" w:rsidP="001E5084">
      <w:pPr>
        <w:shd w:val="clear" w:color="auto" w:fill="FFFFFF"/>
        <w:tabs>
          <w:tab w:val="left" w:pos="142"/>
          <w:tab w:val="left" w:pos="567"/>
          <w:tab w:val="left" w:pos="709"/>
        </w:tabs>
        <w:spacing w:before="120" w:after="120" w:line="360" w:lineRule="auto"/>
        <w:jc w:val="both"/>
        <w:textAlignment w:val="top"/>
        <w:rPr>
          <w:rFonts w:ascii="Times New Roman" w:eastAsia="Times New Roman" w:hAnsi="Times New Roman" w:cs="Times New Roman"/>
          <w:color w:val="353535"/>
          <w:sz w:val="24"/>
          <w:szCs w:val="24"/>
          <w:lang w:eastAsia="fr-FR"/>
        </w:rPr>
      </w:pPr>
    </w:p>
    <w:p w:rsidR="007012F2" w:rsidRPr="0034540D" w:rsidRDefault="007012F2"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DEUXIEME PARTIE- Les infractions à la législation des changes commises dans un autre Etat membre de l’UEMOA</w:t>
      </w:r>
    </w:p>
    <w:p w:rsidR="00133F3D" w:rsidRPr="0034540D" w:rsidRDefault="00133F3D"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lastRenderedPageBreak/>
        <w:t xml:space="preserve">Pour éviter l’impunité des délinquants à la législation des changes  et veiller à l’application stricte des sanctions prévues par les dispositions communautaires et nationales,  il est prévu dans le cadre de l’UEMOA, la possibilité de poursuite sur un territoire d’un état membre pour des infractions commises  dans un autre Etat membre de cette union.  Ceci a ,pour entre autres but, d’éviter que les délinquants, profitant de leur droit de libre circulation au sein de cette union, puissent échapper  à des infractions commises à n’importe lequel des Etats membres.   Au Sénégal, la loi n°2014-12 du </w:t>
      </w:r>
      <w:r w:rsidRPr="0034540D">
        <w:rPr>
          <w:rFonts w:ascii="Times New Roman" w:hAnsi="Times New Roman" w:cs="Times New Roman"/>
          <w:bCs/>
          <w:sz w:val="24"/>
          <w:szCs w:val="24"/>
        </w:rPr>
        <w:t xml:space="preserve">28 février 2014  sur le contentieux des infractions à la réglementation des relations financières  extérieures  des Etats membres de l’Union Economique et Monétaire  Ouest Africaine (UEMOA) </w:t>
      </w:r>
      <w:r w:rsidRPr="0034540D">
        <w:rPr>
          <w:rFonts w:ascii="Times New Roman" w:hAnsi="Times New Roman" w:cs="Times New Roman"/>
          <w:sz w:val="24"/>
          <w:szCs w:val="24"/>
        </w:rPr>
        <w:t xml:space="preserve">a prévu à ses articles 41 à 44 les conditions de la poursuite des infractions à la législation  des changes ainsi que celles relatives  à l’incitation à commettre de telles infractions par les autorités sénégalaises et devant les juridictions nationales. </w:t>
      </w:r>
    </w:p>
    <w:p w:rsidR="00133F3D" w:rsidRPr="0034540D" w:rsidRDefault="00133F3D" w:rsidP="001E5084">
      <w:pPr>
        <w:pStyle w:val="Paragraphedeliste"/>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Chapitre I : La poursuite de l’infraction à la législation des changes commise dans un autre Etat membre de l’UEMAO par les autorités  Sénégalaises</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En vertu des règles du droit international, tout Etat  a le droit de solliciter l’extradition d’une personne contre laquelle est reconnue des faits de crime ou de délit qu’elle soit son ressortissant ou le ressortissant d’un autre état. Lorsque les faits reprochés sont avérés, l’Etat sollicité ne peut que juger ou extrader.  C’est ainsi qu’en matière d’infractions à la législation  des changes commises dans un autre Etat membre de  l’UEMAO, à défaut d’extradition, possibilité est donnée aux  autorités sénégalaises de poursuivre les auteurs ou complices devant les juridictions nationales. Cependant, cette poursuite  ne peut être exercée que sous certaines conditions.  En effet, l’article 42 de la loi sus citée, prévoit l’obligation d’une requête de l’Etat  victime requérant spécifiant soit que l’infraction, sans être prescrite ou amnistiée, n’a donné lieu à aucune transaction ou jugement définitif sur son territoire ; soit, si une transaction a été conclue ou un jugement définitif prononcé, que les obligations stipulées ou les condamnations pécuniaires prononcées n’ont pas été entièrement exécutées par le contrevenant ou ses héritiers, sans que ce soit par l’effet de la prescription, d’une remise de peine, d’une grâce ou d’une amnistie.</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 Lorsque ces conditions sont réunies, les poursuites peuvent être intentées par les autorités sénégalaises et devant les tribunaux sénégalais. </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p>
    <w:p w:rsidR="00133F3D" w:rsidRPr="0034540D" w:rsidRDefault="00133F3D" w:rsidP="001E5084">
      <w:pPr>
        <w:pStyle w:val="Paragraphedeliste"/>
        <w:tabs>
          <w:tab w:val="left" w:pos="142"/>
          <w:tab w:val="left" w:pos="567"/>
          <w:tab w:val="left" w:pos="709"/>
        </w:tabs>
        <w:autoSpaceDE w:val="0"/>
        <w:autoSpaceDN w:val="0"/>
        <w:adjustRightInd w:val="0"/>
        <w:spacing w:after="0"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 xml:space="preserve">Section I : la poursuite devant les juridictions sénégalaises en l’absence de transaction ou de jugement définitif  </w:t>
      </w:r>
    </w:p>
    <w:p w:rsidR="00133F3D" w:rsidRPr="0034540D" w:rsidRDefault="00133F3D" w:rsidP="001E5084">
      <w:pPr>
        <w:pStyle w:val="Paragraphedeliste"/>
        <w:numPr>
          <w:ilvl w:val="0"/>
          <w:numId w:val="43"/>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En  l’absence de transaction entre l’état requérant et les  personnes poursuivies </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 En l’absence de transaction entre l’état requérant et les délinquants, aucune transaction ne peut être acceptée par les autorités sénégalaises sans l’accord préalable du Ministre chargé des Finances de l’Etat requérant. Lorsque l’accord de  transiger  est donné aux autorités nationales,  celles –ci peuvent conclure une transaction avec les personnes poursuivies conformément aux dispositions  du</w:t>
      </w:r>
      <w:r w:rsidRPr="0034540D">
        <w:rPr>
          <w:rFonts w:ascii="Times New Roman" w:hAnsi="Times New Roman" w:cs="Times New Roman"/>
          <w:color w:val="FF0000"/>
          <w:sz w:val="24"/>
          <w:szCs w:val="24"/>
        </w:rPr>
        <w:t xml:space="preserve"> décret n°2016-949</w:t>
      </w:r>
      <w:r w:rsidRPr="0034540D">
        <w:rPr>
          <w:rStyle w:val="Appelnotedebasdep"/>
          <w:rFonts w:ascii="Times New Roman" w:hAnsi="Times New Roman" w:cs="Times New Roman"/>
          <w:color w:val="FF0000"/>
          <w:sz w:val="24"/>
          <w:szCs w:val="24"/>
        </w:rPr>
        <w:footnoteReference w:id="55"/>
      </w:r>
      <w:r w:rsidRPr="0034540D">
        <w:rPr>
          <w:rFonts w:ascii="Times New Roman" w:hAnsi="Times New Roman" w:cs="Times New Roman"/>
          <w:color w:val="FF0000"/>
          <w:sz w:val="24"/>
          <w:szCs w:val="24"/>
        </w:rPr>
        <w:t xml:space="preserve"> du 12 juillet 2016 fixe les conditions d’acceptation des transactions avant la mise en œuvre  de l’action judiciaire dans le cadre des infractions à la réglementation des relations financières extérieures  des Etats membres de l’UEMOA dans les mêmes conditions que celles déjà développées</w:t>
      </w:r>
      <w:r w:rsidRPr="0034540D">
        <w:rPr>
          <w:rStyle w:val="Appelnotedebasdep"/>
          <w:rFonts w:ascii="Times New Roman" w:hAnsi="Times New Roman" w:cs="Times New Roman"/>
          <w:color w:val="FF0000"/>
          <w:sz w:val="24"/>
          <w:szCs w:val="24"/>
        </w:rPr>
        <w:footnoteReference w:id="56"/>
      </w:r>
      <w:r w:rsidRPr="0034540D">
        <w:rPr>
          <w:rFonts w:ascii="Times New Roman" w:hAnsi="Times New Roman" w:cs="Times New Roman"/>
          <w:color w:val="FF0000"/>
          <w:sz w:val="24"/>
          <w:szCs w:val="24"/>
        </w:rPr>
        <w:t>.  L</w:t>
      </w:r>
      <w:r w:rsidRPr="0034540D">
        <w:rPr>
          <w:rFonts w:ascii="Times New Roman" w:hAnsi="Times New Roman" w:cs="Times New Roman"/>
          <w:sz w:val="24"/>
          <w:szCs w:val="24"/>
        </w:rPr>
        <w:t>e corps du délit ou à défaut, sa valeur est acquis à l’Etat requérant, déduction faite, le cas échéant, de la fraction déjà recouvrée par celui-ci.</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Lorsqu’aucune  transaction n’a été faite entre l’Etat requérant et l’auteur ou le complice de l’infraction et qu’une demande de transaction n’a pas été formulée, l’action publique peut être mise en mouvement par les autorités sénégalaises devant les juridictions sénégalaises  suivant les règles de procédures définies par le code de procédure pénale sénégalais, le droit pénal étant  un droit de souveraineté. Dans ce cas,  le Ministre chargé de la Justice est saisi du dossier par les autorités de l’état requérant. Ce dossier est transmis au Procureur général près la Cour  d’Appel  de Dakar est chargé de l’exécution de cette demande sur toute l’étendue du territoire. Celui-ci saisi le Procureur de la République compétent pour mise en mouvement  de l’action publique. </w:t>
      </w:r>
    </w:p>
    <w:p w:rsidR="00133F3D" w:rsidRPr="0034540D" w:rsidRDefault="00133F3D" w:rsidP="001E5084">
      <w:pPr>
        <w:pStyle w:val="Paragraphedeliste"/>
        <w:numPr>
          <w:ilvl w:val="0"/>
          <w:numId w:val="43"/>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 xml:space="preserve">En l’absence de jugement définitif  dans l’état requérant </w:t>
      </w:r>
    </w:p>
    <w:p w:rsidR="00133F3D" w:rsidRPr="0034540D" w:rsidRDefault="00133F3D" w:rsidP="001E5084">
      <w:pPr>
        <w:tabs>
          <w:tab w:val="left" w:pos="142"/>
          <w:tab w:val="left" w:pos="567"/>
          <w:tab w:val="left" w:pos="709"/>
        </w:tabs>
        <w:autoSpaceDE w:val="0"/>
        <w:autoSpaceDN w:val="0"/>
        <w:adjustRightInd w:val="0"/>
        <w:spacing w:after="0" w:line="360" w:lineRule="auto"/>
        <w:ind w:left="360"/>
        <w:jc w:val="both"/>
        <w:rPr>
          <w:rFonts w:ascii="Times New Roman" w:hAnsi="Times New Roman" w:cs="Times New Roman"/>
          <w:sz w:val="24"/>
          <w:szCs w:val="24"/>
        </w:rPr>
      </w:pPr>
      <w:r w:rsidRPr="0034540D">
        <w:rPr>
          <w:rFonts w:ascii="Times New Roman" w:hAnsi="Times New Roman" w:cs="Times New Roman"/>
          <w:sz w:val="24"/>
          <w:szCs w:val="24"/>
        </w:rPr>
        <w:t xml:space="preserve">A défaut d’un jugement définitif dans l’Etat   requérant, l’action peut être portée devant les juridictions sénégalaises.  Dans  ce cas, une requête   est adressée par </w:t>
      </w:r>
      <w:r w:rsidRPr="0034540D">
        <w:rPr>
          <w:rFonts w:ascii="Times New Roman" w:hAnsi="Times New Roman" w:cs="Times New Roman"/>
          <w:sz w:val="24"/>
          <w:szCs w:val="24"/>
        </w:rPr>
        <w:lastRenderedPageBreak/>
        <w:t xml:space="preserve">l’Etat  requérant au Ministre chargé de la Justice et le Procureur général près la Cour  d’Appel  de Dakar est chargé de l’exécution de cette demande sur toute l’étendue du territoire. Ainsi celui-ci sera chargé de saisir le Procureur de la République  compétent de la juridiction compétente pour la mise en mouvement de l’action publique suivant les règles du code de procédure pénale relativement aux règles de compétence. </w:t>
      </w:r>
    </w:p>
    <w:p w:rsidR="00133F3D" w:rsidRPr="0034540D" w:rsidRDefault="00133F3D" w:rsidP="001E5084">
      <w:pPr>
        <w:pStyle w:val="Paragraphedeliste"/>
        <w:numPr>
          <w:ilvl w:val="0"/>
          <w:numId w:val="44"/>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La juridiction  sénégalaise compétente</w:t>
      </w:r>
    </w:p>
    <w:p w:rsidR="00133F3D" w:rsidRPr="0034540D" w:rsidRDefault="00133F3D" w:rsidP="001E5084">
      <w:pPr>
        <w:pStyle w:val="Paragraphedeliste"/>
        <w:tabs>
          <w:tab w:val="left" w:pos="142"/>
          <w:tab w:val="left" w:pos="567"/>
          <w:tab w:val="left" w:pos="709"/>
        </w:tabs>
        <w:autoSpaceDE w:val="0"/>
        <w:autoSpaceDN w:val="0"/>
        <w:adjustRightInd w:val="0"/>
        <w:spacing w:after="0" w:line="360" w:lineRule="auto"/>
        <w:ind w:left="1080"/>
        <w:jc w:val="both"/>
        <w:rPr>
          <w:rFonts w:ascii="Times New Roman" w:hAnsi="Times New Roman" w:cs="Times New Roman"/>
          <w:sz w:val="24"/>
          <w:szCs w:val="24"/>
        </w:rPr>
      </w:pPr>
      <w:r w:rsidRPr="0034540D">
        <w:rPr>
          <w:rFonts w:ascii="Times New Roman" w:hAnsi="Times New Roman" w:cs="Times New Roman"/>
          <w:sz w:val="24"/>
          <w:szCs w:val="24"/>
        </w:rPr>
        <w:t>Il résulte de l’article 43 de loi n°2014-12 sur le contentieux  que l’infraction ainsi poursuivie est qualifié délit. Selon l’article 4 du décret 2015-1145 du 03 aout 2015 fixant la composition et la compétence des cours d’Appel, des tribunaux de grande instance et des tribunaux d’instance «  les tribunaux d’instance  connaissent de tous les faits qualifiés de contravention…..ils connaissent également des délits pour lesquels la loi leur a</w:t>
      </w:r>
      <w:r w:rsidRPr="0034540D">
        <w:rPr>
          <w:rFonts w:ascii="Times New Roman" w:hAnsi="Times New Roman" w:cs="Times New Roman"/>
          <w:sz w:val="24"/>
          <w:szCs w:val="24"/>
        </w:rPr>
        <w:tab/>
        <w:t xml:space="preserve"> donné compétence ». Que l’article 18 du même décret prévoit que  « les tribunaux de grande instance connaissent en premier ressort de tous les délits autres que ceux qui sont de la compétence des tribunaux d’instance ». Selon l’article 370 du code de procédure pénale  «  Sont compétents le tribunal de grande instance ou le tribunal d’instance du lieu de l’infraction, de la résidence du prévenu, du lieu d’arrestation de ce  dernier même si cette arrestation a été opérée pour une autre cause, et du lieu de détention….la compétence du tribunal d’instance est limitée aux délits qui lui sont attribués par la loi ».  Il   résulte de la lecture combinée de ces deux articles que le tribunal  compétent est le tribunal de grande instance  statuant en matière correctionnelle de la résidence du prévenu, de son arrestation même pour autre cause ou de sa détention lorsque l’on sait que le critère du lieu de commission ne peut été appliqué en l’espèce.  Notons, toutefois,  que le retrait de la requête de l’état requérant avant l’intervention d’un jugement définitif prononcé par les juridictions sénégalaises met fins à toutes les poursuites. </w:t>
      </w:r>
    </w:p>
    <w:p w:rsidR="00133F3D" w:rsidRPr="0034540D" w:rsidRDefault="00133F3D" w:rsidP="001E5084">
      <w:pPr>
        <w:pStyle w:val="Paragraphedeliste"/>
        <w:numPr>
          <w:ilvl w:val="0"/>
          <w:numId w:val="44"/>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La preuve de l’infraction</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Comme en droit sénégalais, ces infractions sont constatées par procès verbaux établis par les agents  habilités de l’Etat  requérant.  Il est précisé à l’article 42 de la loi 2014-12 du </w:t>
      </w:r>
      <w:r w:rsidRPr="0034540D">
        <w:rPr>
          <w:rFonts w:ascii="Times New Roman" w:hAnsi="Times New Roman" w:cs="Times New Roman"/>
          <w:bCs/>
          <w:sz w:val="24"/>
          <w:szCs w:val="24"/>
        </w:rPr>
        <w:t xml:space="preserve">28 février 2014  sur le contentieux des infractions à la réglementation des relations financières  extérieures  des Etats membres de l’Union Economique et </w:t>
      </w:r>
      <w:r w:rsidRPr="0034540D">
        <w:rPr>
          <w:rFonts w:ascii="Times New Roman" w:hAnsi="Times New Roman" w:cs="Times New Roman"/>
          <w:bCs/>
          <w:sz w:val="24"/>
          <w:szCs w:val="24"/>
        </w:rPr>
        <w:lastRenderedPageBreak/>
        <w:t xml:space="preserve">Monétaire  Ouest Africaine (UEMOA) que </w:t>
      </w:r>
      <w:r w:rsidRPr="0034540D">
        <w:rPr>
          <w:rFonts w:ascii="Times New Roman" w:hAnsi="Times New Roman" w:cs="Times New Roman"/>
          <w:sz w:val="24"/>
          <w:szCs w:val="24"/>
        </w:rPr>
        <w:t>Les procès-verbaux établis par les agents de l’Etat requérant, habilités à constater les infractions à la réglementation des  changes,  ont, devant les juridictions nationales, la même force probante que celle qui leur est reconnue par la loi de l’Etat requérant. C’est dire que le juge pénal  sénégalais ne dispose d’aucune liberté d’appréciation quant à la force probante des procès  verbaux établis par les agents  habilités de l’état victime requérant.  Il ne peut non plus relaxer l’auteur d’une infraction à la réglementation des changes  pour défaut d’intention. S’il est tenté de retenir  des circonstances atténuantes, il ne peut, sous réserve, que  dispenser le prévenu de tout ou partie des peines applicables à l’infraction ; décider que la condamnation ne sera pas mentionnée au bulletin n° 3(*) de son casier judiciaire.</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p>
    <w:p w:rsidR="00133F3D" w:rsidRPr="0034540D" w:rsidRDefault="00133F3D" w:rsidP="001E5084">
      <w:pPr>
        <w:pStyle w:val="Paragraphedeliste"/>
        <w:numPr>
          <w:ilvl w:val="0"/>
          <w:numId w:val="44"/>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b/>
          <w:sz w:val="24"/>
          <w:szCs w:val="24"/>
        </w:rPr>
      </w:pPr>
      <w:r w:rsidRPr="0034540D">
        <w:rPr>
          <w:rFonts w:ascii="Times New Roman" w:hAnsi="Times New Roman" w:cs="Times New Roman"/>
          <w:b/>
          <w:sz w:val="24"/>
          <w:szCs w:val="24"/>
        </w:rPr>
        <w:t>Les peines infligées</w:t>
      </w:r>
    </w:p>
    <w:p w:rsidR="00133F3D" w:rsidRPr="0034540D" w:rsidRDefault="00133F3D" w:rsidP="001E5084">
      <w:pPr>
        <w:pStyle w:val="Paragraphedeliste"/>
        <w:tabs>
          <w:tab w:val="left" w:pos="142"/>
          <w:tab w:val="left" w:pos="567"/>
          <w:tab w:val="left" w:pos="709"/>
        </w:tabs>
        <w:autoSpaceDE w:val="0"/>
        <w:autoSpaceDN w:val="0"/>
        <w:adjustRightInd w:val="0"/>
        <w:spacing w:after="0" w:line="360" w:lineRule="auto"/>
        <w:ind w:left="1080"/>
        <w:jc w:val="both"/>
        <w:rPr>
          <w:rFonts w:ascii="Times New Roman" w:hAnsi="Times New Roman" w:cs="Times New Roman"/>
          <w:sz w:val="24"/>
          <w:szCs w:val="24"/>
        </w:rPr>
      </w:pPr>
      <w:r w:rsidRPr="0034540D">
        <w:rPr>
          <w:rFonts w:ascii="Times New Roman" w:hAnsi="Times New Roman" w:cs="Times New Roman"/>
          <w:sz w:val="24"/>
          <w:szCs w:val="24"/>
        </w:rPr>
        <w:t xml:space="preserve">Pour les personnes reconnues coupables comme  d’auteur ou complices d’infractions à la législation des changes,  ce sont les sanctions prévues par la loi 2014-12 du </w:t>
      </w:r>
      <w:r w:rsidRPr="0034540D">
        <w:rPr>
          <w:rFonts w:ascii="Times New Roman" w:hAnsi="Times New Roman" w:cs="Times New Roman"/>
          <w:bCs/>
          <w:sz w:val="24"/>
          <w:szCs w:val="24"/>
        </w:rPr>
        <w:t>28 février 2014  sur le contentieux des infractions à la réglementation des relations financières  extérieures  des Etats membres de l’Union Economique et Monétaire  Ouest Africaine (UEMOA)</w:t>
      </w:r>
      <w:r w:rsidRPr="0034540D">
        <w:rPr>
          <w:rFonts w:ascii="Times New Roman" w:hAnsi="Times New Roman" w:cs="Times New Roman"/>
          <w:sz w:val="24"/>
          <w:szCs w:val="24"/>
        </w:rPr>
        <w:t xml:space="preserve">  qui leurs seront appliquées.  Pour les personnes physiques coupables ou complices de violation de l’obligation de déclaration, d’inobservation des règles de procédure  ou de formalité ou pièces  justificatives exigées seront   punies d’une peine d’emprisonnement d’un (01) an à cinq (05) ans et d’une amende dont le montant minimum correspond à la somme ou valeur sur laquelle a porté l’infraction et, dont le maximum, est le quintuple de ladite somme ou de ladite valeur. La tentative est aussi punie des mêmes peines En outre, elles  seront punies d’une peine de d’emprisonnement de deux (02) ans à sept (07)ans  et d’une amende égale au minimum, au double du montant de la somme ou valeur sur laquelle a porté l’infraction et, au maximum, au décuple de ladite somme ou de ladite valeur en cas d’entente ou de participation à une association en vue de commettre une infraction à la législation des changes. Elles sont interdites de façon temporaire ou définitive  de certaines fonctions notamment celles  d’agent de change, d’intermédiaire en bourse, d’agent d’assurance ; d’être électeurs, éligibles ou désignés aux juridictions professionnelles, aux chambres de commerce </w:t>
      </w:r>
      <w:r w:rsidRPr="0034540D">
        <w:rPr>
          <w:rFonts w:ascii="Times New Roman" w:hAnsi="Times New Roman" w:cs="Times New Roman"/>
          <w:sz w:val="24"/>
          <w:szCs w:val="24"/>
        </w:rPr>
        <w:lastRenderedPageBreak/>
        <w:t xml:space="preserve">et aux chambres de métiers. La violation de cette interdiction est sanctionnée de peine d’emprisonnement et d’amende  comme soutenu dans nos développements précédents. </w:t>
      </w:r>
    </w:p>
    <w:p w:rsidR="00133F3D" w:rsidRPr="0034540D" w:rsidRDefault="00133F3D" w:rsidP="001E5084">
      <w:pPr>
        <w:pStyle w:val="Paragraphedeliste"/>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sz w:val="24"/>
          <w:szCs w:val="24"/>
        </w:rPr>
        <w:t xml:space="preserve">En cas   de non rapatriement  du produit des recettes d’exportation, les personnes physiques sont punies d’une amende dont le minimum est égal au montant de la somme ou de la valeur sur laquelle a porté l’infraction ou la tentative d’infraction et le maximum au double du montant de ladite somme ou valeur. </w:t>
      </w:r>
    </w:p>
    <w:p w:rsidR="00133F3D" w:rsidRPr="0034540D" w:rsidRDefault="00133F3D" w:rsidP="001E5084">
      <w:pPr>
        <w:pStyle w:val="Paragraphedeliste"/>
        <w:tabs>
          <w:tab w:val="left" w:pos="142"/>
          <w:tab w:val="left" w:pos="567"/>
          <w:tab w:val="left" w:pos="709"/>
        </w:tabs>
        <w:autoSpaceDE w:val="0"/>
        <w:autoSpaceDN w:val="0"/>
        <w:adjustRightInd w:val="0"/>
        <w:spacing w:after="0" w:line="360" w:lineRule="auto"/>
        <w:ind w:left="1080"/>
        <w:jc w:val="both"/>
        <w:rPr>
          <w:rFonts w:ascii="Times New Roman" w:hAnsi="Times New Roman" w:cs="Times New Roman"/>
          <w:sz w:val="24"/>
          <w:szCs w:val="24"/>
        </w:rPr>
      </w:pPr>
    </w:p>
    <w:p w:rsidR="00133F3D" w:rsidRPr="0034540D" w:rsidRDefault="00133F3D" w:rsidP="001E5084">
      <w:pPr>
        <w:pStyle w:val="Paragraphedeliste"/>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Pour les personnes morales autres que les établissements de crédit qui auraient bénéficié ou profité d’une infraction à la législation  des changes commises par l’un de ses représentants ou organes  sont punies d’une amende dont le montant minimum correspond à la somme ou valeur sur laquelle a porté l’infraction et dont le maximum est le quintuple de ladite somme ou de ladite valeur punies d’une amende  sous réserve des dispositions des articles 45 et 46 la loi 2014-12. Notons en outre les dirigeants et représentants coupables  sont punies d’une peine d’emprisonnement d’un (01) an à cinq (05) ans et d’une  amende dont le montant minimum correspond à la somme ou valeur sur laquelle a porté l’infraction et, dont le maximum, est le quintuple de ladite somme ou de ladite valeur.</w:t>
      </w:r>
    </w:p>
    <w:p w:rsidR="00133F3D" w:rsidRPr="0034540D" w:rsidRDefault="00133F3D" w:rsidP="001E5084">
      <w:pPr>
        <w:pStyle w:val="Paragraphedeliste"/>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Ils sont en outre de plein droit interdites pour une durée de cinq(05) d’exercer  les fonctions d’agent de change et l’activité d’intermédiaire en bourse</w:t>
      </w:r>
      <w:r w:rsidRPr="0034540D">
        <w:rPr>
          <w:rStyle w:val="Appelnotedebasdep"/>
          <w:rFonts w:ascii="Times New Roman" w:hAnsi="Times New Roman" w:cs="Times New Roman"/>
          <w:sz w:val="24"/>
          <w:szCs w:val="24"/>
        </w:rPr>
        <w:footnoteReference w:id="57"/>
      </w:r>
      <w:r w:rsidRPr="0034540D">
        <w:rPr>
          <w:rFonts w:ascii="Times New Roman" w:hAnsi="Times New Roman" w:cs="Times New Roman"/>
          <w:sz w:val="24"/>
          <w:szCs w:val="24"/>
        </w:rPr>
        <w:t xml:space="preserve"> lorsqu’elles ont fait l’objet de condamnation. En outre, elles sont interdites de façon définitive et de plein droit de  diriger, d’administrer ou de gérer un établissement de crédit ou une de ses agences ; d’exercer l’une des activités des établissements de crédit, de proposer au public la création d’un établissement de crédit, de prendre des participations dans le capital d’un  établissement de crédit. Ils sont sanctionnés en cas de violation de ces interdictions.</w:t>
      </w:r>
    </w:p>
    <w:p w:rsidR="00133F3D" w:rsidRPr="0034540D" w:rsidRDefault="00133F3D" w:rsidP="001E5084">
      <w:pPr>
        <w:tabs>
          <w:tab w:val="left" w:pos="142"/>
          <w:tab w:val="left" w:pos="567"/>
          <w:tab w:val="left" w:pos="709"/>
        </w:tabs>
        <w:autoSpaceDE w:val="0"/>
        <w:autoSpaceDN w:val="0"/>
        <w:adjustRightInd w:val="0"/>
        <w:spacing w:after="0" w:line="360" w:lineRule="auto"/>
        <w:ind w:left="851"/>
        <w:jc w:val="both"/>
        <w:rPr>
          <w:rFonts w:ascii="Times New Roman" w:hAnsi="Times New Roman" w:cs="Times New Roman"/>
          <w:sz w:val="24"/>
          <w:szCs w:val="24"/>
        </w:rPr>
      </w:pPr>
      <w:r w:rsidRPr="0034540D">
        <w:rPr>
          <w:rFonts w:ascii="Times New Roman" w:hAnsi="Times New Roman" w:cs="Times New Roman"/>
          <w:sz w:val="24"/>
          <w:szCs w:val="24"/>
        </w:rPr>
        <w:t xml:space="preserve">           Il importe de préciser que le juge  doit prononcer la confiscation du corps du    délit ou, à défaut, la condamnation au paiement des sa valeur . Le corps du délit ou à défaut, sa valeur, obtenu par est acquis, dans ce cas,   à </w:t>
      </w:r>
      <w:r w:rsidRPr="0034540D">
        <w:rPr>
          <w:rFonts w:ascii="Times New Roman" w:hAnsi="Times New Roman" w:cs="Times New Roman"/>
          <w:sz w:val="24"/>
          <w:szCs w:val="24"/>
        </w:rPr>
        <w:lastRenderedPageBreak/>
        <w:t xml:space="preserve">l’Etat requérant, déduction faite, le cas échéant, de la fraction déjà recouvrée par celui-ci. </w:t>
      </w:r>
    </w:p>
    <w:p w:rsidR="00133F3D" w:rsidRPr="0034540D" w:rsidRDefault="00133F3D" w:rsidP="001E5084">
      <w:pPr>
        <w:pStyle w:val="Paragraphedeliste"/>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p>
    <w:p w:rsidR="00133F3D" w:rsidRPr="0034540D" w:rsidRDefault="00133F3D" w:rsidP="001E5084">
      <w:pPr>
        <w:pStyle w:val="Paragraphedeliste"/>
        <w:tabs>
          <w:tab w:val="left" w:pos="142"/>
          <w:tab w:val="left" w:pos="567"/>
          <w:tab w:val="left" w:pos="709"/>
        </w:tabs>
        <w:autoSpaceDE w:val="0"/>
        <w:autoSpaceDN w:val="0"/>
        <w:adjustRightInd w:val="0"/>
        <w:spacing w:after="0"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 xml:space="preserve">Section II : la poursuite en cas de l’existence d’une transaction ou d’un jugement définitif   </w:t>
      </w:r>
    </w:p>
    <w:p w:rsidR="00133F3D" w:rsidRPr="001E5084" w:rsidRDefault="001E5084" w:rsidP="001E5084">
      <w:pPr>
        <w:pStyle w:val="Paragraphedeliste"/>
        <w:numPr>
          <w:ilvl w:val="0"/>
          <w:numId w:val="46"/>
        </w:numPr>
        <w:tabs>
          <w:tab w:val="left" w:pos="142"/>
          <w:tab w:val="left" w:pos="567"/>
          <w:tab w:val="left" w:pos="709"/>
        </w:tabs>
        <w:spacing w:line="360" w:lineRule="auto"/>
        <w:jc w:val="both"/>
        <w:rPr>
          <w:rFonts w:ascii="Times New Roman" w:hAnsi="Times New Roman" w:cs="Times New Roman"/>
          <w:b/>
          <w:sz w:val="24"/>
          <w:szCs w:val="24"/>
        </w:rPr>
      </w:pPr>
      <w:r w:rsidRPr="001E5084">
        <w:rPr>
          <w:rFonts w:ascii="Times New Roman" w:hAnsi="Times New Roman" w:cs="Times New Roman"/>
          <w:b/>
          <w:sz w:val="24"/>
          <w:szCs w:val="24"/>
        </w:rPr>
        <w:t xml:space="preserve"> </w:t>
      </w:r>
      <w:r w:rsidR="00133F3D" w:rsidRPr="001E5084">
        <w:rPr>
          <w:rFonts w:ascii="Times New Roman" w:hAnsi="Times New Roman" w:cs="Times New Roman"/>
          <w:b/>
          <w:sz w:val="24"/>
          <w:szCs w:val="24"/>
        </w:rPr>
        <w:t>En cas de transaction entre l’Etat requérant et les personnes poursuivies</w:t>
      </w:r>
    </w:p>
    <w:p w:rsidR="00133F3D" w:rsidRPr="001E5084" w:rsidRDefault="00133F3D" w:rsidP="001E5084">
      <w:pPr>
        <w:tabs>
          <w:tab w:val="left" w:pos="142"/>
          <w:tab w:val="left" w:pos="567"/>
          <w:tab w:val="left" w:pos="709"/>
        </w:tabs>
        <w:spacing w:line="360" w:lineRule="auto"/>
        <w:jc w:val="both"/>
        <w:rPr>
          <w:rFonts w:ascii="Times New Roman" w:hAnsi="Times New Roman" w:cs="Times New Roman"/>
          <w:sz w:val="24"/>
          <w:szCs w:val="24"/>
        </w:rPr>
      </w:pPr>
      <w:r w:rsidRPr="001E5084">
        <w:rPr>
          <w:rFonts w:ascii="Times New Roman" w:hAnsi="Times New Roman" w:cs="Times New Roman"/>
          <w:sz w:val="24"/>
          <w:szCs w:val="24"/>
        </w:rPr>
        <w:t xml:space="preserve">Lorsque  la transaction conclue n’a pas été entièrement  exécutée par le contrevenant ou ses héritiers,  l’exécution des obligations  peut être poursuivie devant les juridictions sénégalaises.  Toutefois, l’Etat requérant peut renoncer à cette exécution et  préférer le règlement juridictionnel de l’affaire devant ces dites juridictions. </w:t>
      </w:r>
    </w:p>
    <w:p w:rsidR="00133F3D" w:rsidRPr="001E5084" w:rsidRDefault="00133F3D" w:rsidP="001E5084">
      <w:pPr>
        <w:pStyle w:val="Paragraphedeliste"/>
        <w:numPr>
          <w:ilvl w:val="0"/>
          <w:numId w:val="46"/>
        </w:numPr>
        <w:tabs>
          <w:tab w:val="left" w:pos="142"/>
          <w:tab w:val="left" w:pos="567"/>
          <w:tab w:val="left" w:pos="709"/>
        </w:tabs>
        <w:spacing w:line="360" w:lineRule="auto"/>
        <w:jc w:val="both"/>
        <w:rPr>
          <w:rFonts w:ascii="Times New Roman" w:hAnsi="Times New Roman" w:cs="Times New Roman"/>
          <w:b/>
          <w:sz w:val="24"/>
          <w:szCs w:val="24"/>
        </w:rPr>
      </w:pPr>
      <w:r w:rsidRPr="001E5084">
        <w:rPr>
          <w:rFonts w:ascii="Times New Roman" w:hAnsi="Times New Roman" w:cs="Times New Roman"/>
          <w:b/>
          <w:sz w:val="24"/>
          <w:szCs w:val="24"/>
        </w:rPr>
        <w:t>En cas de jugement définitif prononcé par les juridictions de l’Etat  requérant membre de l’UEMOA</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Si un jugement définitif a été prononcé par  une juridiction d’un autre Etat membre de l’UEMOA, l’exécution des condamnations pécuniaires peut être poursuivie devant les juridictions sénégalaises. La demande sera envoyée au Ministre chargé de la justice par les autorités étrangères de l’état requérant. Le Procureur Général saisit  le Procureur de la République du tribunal de grande instance compétent pour l’exécution de la demande. Notons que ces condamnations pécuniaires, étant en relations avec une infraction  pénale, la demande sera portée  devant le juge pénal dudit tribunal. Ce juge usera de toutes les voies de droit et même par corps pour exécuter par les personnes jugées coupables par la juridiction étrangère des condamnations pécuniaires dont elles ont fait l’objet.  Néanmoins, il ya lieu de préciser que des peines accessoires  sont infligées par le  juge saisi  aux personnes faisant l’objet de condamnation par  ce jugement  d’une juridiction autre que national. Au nombre de ces peines, il ya  les  interdictions prévues par la loi 2014-12 qui sont :</w:t>
      </w:r>
    </w:p>
    <w:p w:rsidR="00133F3D" w:rsidRPr="0034540D" w:rsidRDefault="00133F3D" w:rsidP="001E5084">
      <w:pPr>
        <w:pStyle w:val="Paragraphedeliste"/>
        <w:numPr>
          <w:ilvl w:val="0"/>
          <w:numId w:val="42"/>
        </w:numPr>
        <w:tabs>
          <w:tab w:val="left" w:pos="142"/>
          <w:tab w:val="left" w:pos="567"/>
        </w:tabs>
        <w:autoSpaceDE w:val="0"/>
        <w:autoSpaceDN w:val="0"/>
        <w:adjustRightInd w:val="0"/>
        <w:spacing w:after="0" w:line="360" w:lineRule="auto"/>
        <w:ind w:left="142" w:firstLine="578"/>
        <w:jc w:val="both"/>
        <w:rPr>
          <w:rFonts w:ascii="Times New Roman" w:hAnsi="Times New Roman" w:cs="Times New Roman"/>
          <w:sz w:val="24"/>
          <w:szCs w:val="24"/>
        </w:rPr>
      </w:pPr>
      <w:r w:rsidRPr="0034540D">
        <w:rPr>
          <w:rFonts w:ascii="Times New Roman" w:hAnsi="Times New Roman" w:cs="Times New Roman"/>
          <w:sz w:val="24"/>
          <w:szCs w:val="24"/>
        </w:rPr>
        <w:t xml:space="preserve"> pour les personnes physiques,  pour une durée de cinq(05) d’exercer les fonctions d’agent de change, d’intermédiaire en bourse, d’agent d’assurance ; d’être électeurs, éligibles ou désignés aux juridictions professionnelles, aux chambres de commerce et aux chambres de métiers.</w:t>
      </w:r>
    </w:p>
    <w:p w:rsidR="00133F3D" w:rsidRPr="0034540D" w:rsidRDefault="00133F3D" w:rsidP="001E5084">
      <w:pPr>
        <w:pStyle w:val="Paragraphedeliste"/>
        <w:numPr>
          <w:ilvl w:val="0"/>
          <w:numId w:val="42"/>
        </w:numPr>
        <w:tabs>
          <w:tab w:val="left" w:pos="142"/>
          <w:tab w:val="left" w:pos="567"/>
        </w:tabs>
        <w:autoSpaceDE w:val="0"/>
        <w:autoSpaceDN w:val="0"/>
        <w:adjustRightInd w:val="0"/>
        <w:spacing w:after="0" w:line="360" w:lineRule="auto"/>
        <w:ind w:left="142" w:firstLine="578"/>
        <w:jc w:val="both"/>
        <w:rPr>
          <w:rFonts w:ascii="Times New Roman" w:hAnsi="Times New Roman" w:cs="Times New Roman"/>
          <w:sz w:val="24"/>
          <w:szCs w:val="24"/>
        </w:rPr>
      </w:pPr>
      <w:r w:rsidRPr="0034540D">
        <w:rPr>
          <w:rFonts w:ascii="Times New Roman" w:hAnsi="Times New Roman" w:cs="Times New Roman"/>
          <w:sz w:val="24"/>
          <w:szCs w:val="24"/>
        </w:rPr>
        <w:t>pour les personnes morales autres que les établissements de crédit ,pour une durée de cinq(05)ans , d’exercer les fonctions d’agent de change, l’activité d’intermédiaire en bourse.</w:t>
      </w:r>
    </w:p>
    <w:p w:rsidR="00133F3D" w:rsidRPr="0034540D" w:rsidRDefault="00133F3D" w:rsidP="001E5084">
      <w:pPr>
        <w:tabs>
          <w:tab w:val="left" w:pos="142"/>
          <w:tab w:val="left" w:pos="567"/>
        </w:tabs>
        <w:autoSpaceDE w:val="0"/>
        <w:autoSpaceDN w:val="0"/>
        <w:adjustRightInd w:val="0"/>
        <w:spacing w:after="0" w:line="360" w:lineRule="auto"/>
        <w:ind w:left="142" w:firstLine="578"/>
        <w:jc w:val="both"/>
        <w:rPr>
          <w:rFonts w:ascii="Times New Roman" w:hAnsi="Times New Roman" w:cs="Times New Roman"/>
          <w:sz w:val="24"/>
          <w:szCs w:val="24"/>
        </w:rPr>
      </w:pPr>
      <w:r w:rsidRPr="0034540D">
        <w:rPr>
          <w:rFonts w:ascii="Times New Roman" w:hAnsi="Times New Roman" w:cs="Times New Roman"/>
          <w:sz w:val="24"/>
          <w:szCs w:val="24"/>
        </w:rPr>
        <w:lastRenderedPageBreak/>
        <w:t xml:space="preserve">Pour toutes ces personnes  de diriger, d’administrer ou de gérer un établissement de crédit ou une de ses agences ; d’exercer l’une des activités des établissements de crédit ; de proposer au public la création d’un établissement de crédit ; de prendre des participations dans le capital d’un établissement de crédit. </w:t>
      </w:r>
    </w:p>
    <w:p w:rsidR="00133F3D" w:rsidRPr="0034540D" w:rsidRDefault="00133F3D" w:rsidP="001E5084">
      <w:pPr>
        <w:tabs>
          <w:tab w:val="left" w:pos="142"/>
          <w:tab w:val="left" w:pos="567"/>
          <w:tab w:val="left" w:pos="709"/>
        </w:tabs>
        <w:autoSpaceDE w:val="0"/>
        <w:autoSpaceDN w:val="0"/>
        <w:adjustRightInd w:val="0"/>
        <w:spacing w:after="0" w:line="360" w:lineRule="auto"/>
        <w:ind w:left="284"/>
        <w:jc w:val="both"/>
        <w:rPr>
          <w:rFonts w:ascii="Times New Roman" w:hAnsi="Times New Roman" w:cs="Times New Roman"/>
          <w:sz w:val="24"/>
          <w:szCs w:val="24"/>
        </w:rPr>
      </w:pPr>
      <w:r w:rsidRPr="0034540D">
        <w:rPr>
          <w:rFonts w:ascii="Times New Roman" w:hAnsi="Times New Roman" w:cs="Times New Roman"/>
          <w:sz w:val="24"/>
          <w:szCs w:val="24"/>
        </w:rPr>
        <w:t>La  violation de ces interdictions sont sanctionnées</w:t>
      </w:r>
      <w:r w:rsidRPr="0034540D">
        <w:rPr>
          <w:rStyle w:val="Appelnotedebasdep"/>
          <w:rFonts w:ascii="Times New Roman" w:hAnsi="Times New Roman" w:cs="Times New Roman"/>
          <w:sz w:val="24"/>
          <w:szCs w:val="24"/>
        </w:rPr>
        <w:footnoteReference w:id="58"/>
      </w:r>
      <w:r w:rsidRPr="0034540D">
        <w:rPr>
          <w:rFonts w:ascii="Times New Roman" w:hAnsi="Times New Roman" w:cs="Times New Roman"/>
          <w:sz w:val="24"/>
          <w:szCs w:val="24"/>
        </w:rPr>
        <w:t xml:space="preserve"> à une est punie d’un emprisonnement d’un (1) an à cinq (5) ans et d’une amende d’un million (1.000.000) à dix millions (10.000.000) de francs CFA ou de l’une de ces deux peines.</w:t>
      </w:r>
    </w:p>
    <w:p w:rsidR="00133F3D" w:rsidRPr="0034540D" w:rsidRDefault="00133F3D" w:rsidP="001E5084">
      <w:pPr>
        <w:tabs>
          <w:tab w:val="left" w:pos="142"/>
          <w:tab w:val="left" w:pos="567"/>
          <w:tab w:val="left" w:pos="709"/>
        </w:tabs>
        <w:autoSpaceDE w:val="0"/>
        <w:autoSpaceDN w:val="0"/>
        <w:adjustRightInd w:val="0"/>
        <w:spacing w:after="0" w:line="360" w:lineRule="auto"/>
        <w:ind w:left="851"/>
        <w:jc w:val="both"/>
        <w:rPr>
          <w:rFonts w:ascii="Times New Roman" w:hAnsi="Times New Roman" w:cs="Times New Roman"/>
          <w:sz w:val="24"/>
          <w:szCs w:val="24"/>
        </w:rPr>
      </w:pPr>
    </w:p>
    <w:p w:rsidR="00133F3D" w:rsidRPr="0034540D" w:rsidRDefault="00133F3D" w:rsidP="001E5084">
      <w:pPr>
        <w:tabs>
          <w:tab w:val="left" w:pos="142"/>
          <w:tab w:val="left" w:pos="567"/>
          <w:tab w:val="left" w:pos="709"/>
        </w:tabs>
        <w:spacing w:line="360" w:lineRule="auto"/>
        <w:ind w:left="142"/>
        <w:jc w:val="both"/>
        <w:rPr>
          <w:rFonts w:ascii="Times New Roman" w:hAnsi="Times New Roman" w:cs="Times New Roman"/>
          <w:b/>
          <w:sz w:val="24"/>
          <w:szCs w:val="24"/>
        </w:rPr>
      </w:pPr>
      <w:r w:rsidRPr="0034540D">
        <w:rPr>
          <w:rFonts w:ascii="Times New Roman" w:hAnsi="Times New Roman" w:cs="Times New Roman"/>
          <w:b/>
          <w:sz w:val="24"/>
          <w:szCs w:val="24"/>
        </w:rPr>
        <w:t>Chapitre II : La poursuite de l’infraction d’incitation de commettre une infraction à la législation des changes commise dans un autre Etat membre de l’UEMAO par les autorités  Sénégalaises</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En l’absence d’extradition des personnes coupables d’incitation à l’infraction à la législation des changes, l’action peut être portée devant les juridictions sénégalaises  pour ne connaitre. Cependant, la poursuite devant celles-ci doit être précédée d’une requête de l’Etat membre victime de l’infraction, certifiant :soit que l’infraction, sans être prescrite ou amnistiée, n’a donné lieu à aucun jugement définitif sur son territoire ;soit, si un jugement définitif a été prononcé, que le produit des condamnations pécuniaires n’a pu être entièrement recouvré, sans que ce soit par l’effet de la prescription, d’une remise de peine, d’une grâce ou d’une amnistie.   Lorsque ces conditions sont remplies, la poursuite peut valablement se faire selon l’objet de la demande de l’Etat victime.  </w:t>
      </w:r>
    </w:p>
    <w:p w:rsidR="00133F3D" w:rsidRPr="0034540D" w:rsidRDefault="00133F3D" w:rsidP="001E5084">
      <w:pPr>
        <w:pStyle w:val="Paragraphedeliste"/>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Section I : En l’absence de jugement définitif dans l’Etat victime</w:t>
      </w:r>
    </w:p>
    <w:p w:rsidR="00133F3D" w:rsidRPr="0034540D" w:rsidRDefault="00133F3D"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L’action publique peut être portée devant les juridictions sénégalaises sur demande de l’état  requérant. La saisine est faite dans les conditions développées dans  les paragraphes précédents.</w:t>
      </w:r>
    </w:p>
    <w:p w:rsidR="00133F3D" w:rsidRPr="0034540D" w:rsidRDefault="00133F3D" w:rsidP="001E5084">
      <w:pPr>
        <w:tabs>
          <w:tab w:val="left" w:pos="142"/>
          <w:tab w:val="left" w:pos="567"/>
          <w:tab w:val="left" w:pos="709"/>
        </w:tabs>
        <w:spacing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 Il y a lieu de préciser que le juge ne peut relaxer l’auteur d’une infraction à la réglementation des changes  pour défaut d’intention. Etant une infraction on </w:t>
      </w:r>
      <w:r w:rsidRPr="0034540D">
        <w:rPr>
          <w:rFonts w:ascii="Times New Roman" w:hAnsi="Times New Roman" w:cs="Times New Roman"/>
          <w:sz w:val="24"/>
          <w:szCs w:val="24"/>
        </w:rPr>
        <w:lastRenderedPageBreak/>
        <w:t>intentionnelle, le juge est lié dés que les faits sont matériels et dans ce cas consigné sur procès verbal d’agents habilités de l’ETAT requérant.  Si il est tenté de retenir  des circonstances atténuantes, sous réserve que  dispenser le prévenu de tout ou partie des peines applicables à l’infraction ; décider que la condamnation ne sera pas mentionnée au bulletin n° 3 de son casier judiciaire.</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Pour ce qui est des peines, les personnes physiques sont punies d’un emprisonnement d’un (1) an à cinq (5) ans et d’une amende de cinq millions</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 xml:space="preserve">(5.000.000) à cinquante millions (50.000.000) de francs, si elles ont  incité par </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écrit, par conseil, par propagande ou par publicité, que cette incitation ait ou non été suivie d’effet, qu’elle ait été émise ou reçue sur le territoire national ou à l’étranger.</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Pour les personnes morales autres que les établissements  de crédit, elles sont punies d’une amende de cinq millions (5.000.000) à cinquante millions (50.000.000) de francs, lorsque, pour son compte ou à son profit, l’un de ses représentants ou organes ont incité par écrit, par conseil, par propagande ou par publicité en vue de commettre une infraction à la législation  des changes.</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Les organes ou représentants de ces personnes morales seront  punis d’un emprisonnement d’un (1) an à cinq (5) ans et d’une amende de cinq millions (5.000.000) à cinquante millions (50.000.000) de francs,  s’ils se sont rendues coupables d’incitation par écrit, par conseil, par propagande ou par publicité, à la commission d’une infraction à la réglementation des changes, que cette incitation ait ou non été suivie d’effet, qu’elle ait été émise ou reçue sur le territoire national ou à l’étranger.</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L’exécution  du jugement qui sera rendu se fera par toute voie de droit même par corps par le Procureur de la République. Le corps du délit ou sa valeur est acquis à l’Etat requérant.</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Il convient toutefois de noter que le retrait de la requête met fin aux poursuites s’il intervient avant le jugement définitif prononcé par les juridictions nationales ou avant l’exécution des condamnations.</w:t>
      </w:r>
    </w:p>
    <w:p w:rsidR="00133F3D" w:rsidRPr="0034540D" w:rsidRDefault="00133F3D" w:rsidP="001E5084">
      <w:pPr>
        <w:tabs>
          <w:tab w:val="left" w:pos="142"/>
          <w:tab w:val="left" w:pos="567"/>
          <w:tab w:val="left" w:pos="709"/>
        </w:tabs>
        <w:spacing w:line="360" w:lineRule="auto"/>
        <w:jc w:val="both"/>
        <w:rPr>
          <w:rFonts w:ascii="Times New Roman" w:hAnsi="Times New Roman" w:cs="Times New Roman"/>
          <w:b/>
          <w:sz w:val="24"/>
          <w:szCs w:val="24"/>
        </w:rPr>
      </w:pPr>
      <w:r w:rsidRPr="0034540D">
        <w:rPr>
          <w:rFonts w:ascii="Times New Roman" w:hAnsi="Times New Roman" w:cs="Times New Roman"/>
          <w:b/>
          <w:sz w:val="24"/>
          <w:szCs w:val="24"/>
        </w:rPr>
        <w:t xml:space="preserve">Section II : En cas de jugement définitif  prononcé dans l’Etat requérant </w:t>
      </w:r>
    </w:p>
    <w:p w:rsidR="00133F3D" w:rsidRPr="0034540D" w:rsidRDefault="00133F3D" w:rsidP="001E5084">
      <w:pPr>
        <w:pStyle w:val="Paragraphedeliste"/>
        <w:tabs>
          <w:tab w:val="left" w:pos="142"/>
          <w:tab w:val="left" w:pos="284"/>
          <w:tab w:val="left" w:pos="567"/>
          <w:tab w:val="left" w:pos="709"/>
        </w:tabs>
        <w:autoSpaceDE w:val="0"/>
        <w:autoSpaceDN w:val="0"/>
        <w:adjustRightInd w:val="0"/>
        <w:spacing w:after="0" w:line="360" w:lineRule="auto"/>
        <w:ind w:left="426"/>
        <w:jc w:val="both"/>
        <w:rPr>
          <w:rFonts w:ascii="Times New Roman" w:hAnsi="Times New Roman" w:cs="Times New Roman"/>
          <w:sz w:val="24"/>
          <w:szCs w:val="24"/>
        </w:rPr>
      </w:pPr>
      <w:r w:rsidRPr="0034540D">
        <w:rPr>
          <w:rFonts w:ascii="Times New Roman" w:hAnsi="Times New Roman" w:cs="Times New Roman"/>
          <w:sz w:val="24"/>
          <w:szCs w:val="24"/>
        </w:rPr>
        <w:t xml:space="preserve">Lorsqu’un jugement définitif pour incitation à commettre l’infraction à la législation  est changes est prononcé par une juridiction d’un Etat membre de l’UEMOA, à défaut d’exécution  des condamnations pécuniaires par les personnes reconnues coupables, les juridictions sénégalaises peuvent être saisies  pour </w:t>
      </w:r>
      <w:r w:rsidRPr="0034540D">
        <w:rPr>
          <w:rFonts w:ascii="Times New Roman" w:hAnsi="Times New Roman" w:cs="Times New Roman"/>
          <w:sz w:val="24"/>
          <w:szCs w:val="24"/>
        </w:rPr>
        <w:lastRenderedPageBreak/>
        <w:t xml:space="preserve">recevoir une telle exécution. La saisine est faite par la voie du Ministre chargé de la Justice  dans les mêmes conditions que déjà relatées.  En effet, le Procureur Général saisit  le Procureur de la République du tribunal de grande instance compétent pour l’exécution de la demande qui sera ainsi portée devant le  tribunal de grande instance compétent suivant les règles de compétence  de droit interne sénégalais. </w:t>
      </w:r>
    </w:p>
    <w:p w:rsidR="00133F3D" w:rsidRPr="0034540D" w:rsidRDefault="00133F3D"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sz w:val="24"/>
          <w:szCs w:val="24"/>
        </w:rPr>
      </w:pPr>
      <w:r w:rsidRPr="0034540D">
        <w:rPr>
          <w:rFonts w:ascii="Times New Roman" w:hAnsi="Times New Roman" w:cs="Times New Roman"/>
          <w:sz w:val="24"/>
          <w:szCs w:val="24"/>
        </w:rPr>
        <w:t>Cependant , le jugement étranger emporte de plein droit les interdictions prévues par a loi  sénégalaise n°  2014-12 du 28 février 2014. Ce  sont :</w:t>
      </w:r>
    </w:p>
    <w:p w:rsidR="00133F3D" w:rsidRPr="0034540D" w:rsidRDefault="00133F3D" w:rsidP="001E5084">
      <w:pPr>
        <w:pStyle w:val="Paragraphedeliste"/>
        <w:numPr>
          <w:ilvl w:val="0"/>
          <w:numId w:val="42"/>
        </w:numPr>
        <w:tabs>
          <w:tab w:val="left" w:pos="142"/>
          <w:tab w:val="left" w:pos="567"/>
          <w:tab w:val="left" w:pos="709"/>
        </w:tabs>
        <w:autoSpaceDE w:val="0"/>
        <w:autoSpaceDN w:val="0"/>
        <w:adjustRightInd w:val="0"/>
        <w:spacing w:after="0" w:line="360" w:lineRule="auto"/>
        <w:ind w:firstLine="0"/>
        <w:jc w:val="both"/>
        <w:rPr>
          <w:rFonts w:ascii="Times New Roman" w:hAnsi="Times New Roman" w:cs="Times New Roman"/>
          <w:sz w:val="24"/>
          <w:szCs w:val="24"/>
        </w:rPr>
      </w:pPr>
      <w:r w:rsidRPr="0034540D">
        <w:rPr>
          <w:rFonts w:ascii="Times New Roman" w:hAnsi="Times New Roman" w:cs="Times New Roman"/>
          <w:sz w:val="24"/>
          <w:szCs w:val="24"/>
        </w:rPr>
        <w:t xml:space="preserve"> pour les personnes physiques,  pour une durée de cinq(05) d’exercer les fonctions d’agent de change, d’intermédiaire en bourse, d’agent d’assurance ; d’être électeurs, éligibles ou désignés aux juridictions professionnelles, aux chambres de commerce et aux chambres de métiers.</w:t>
      </w:r>
    </w:p>
    <w:p w:rsidR="00133F3D" w:rsidRPr="0034540D" w:rsidRDefault="00133F3D" w:rsidP="001E5084">
      <w:pPr>
        <w:pStyle w:val="Paragraphedeliste"/>
        <w:numPr>
          <w:ilvl w:val="0"/>
          <w:numId w:val="42"/>
        </w:numPr>
        <w:tabs>
          <w:tab w:val="left" w:pos="142"/>
          <w:tab w:val="left" w:pos="567"/>
          <w:tab w:val="left" w:pos="709"/>
        </w:tabs>
        <w:autoSpaceDE w:val="0"/>
        <w:autoSpaceDN w:val="0"/>
        <w:adjustRightInd w:val="0"/>
        <w:spacing w:after="0" w:line="360" w:lineRule="auto"/>
        <w:ind w:left="851" w:firstLine="0"/>
        <w:jc w:val="both"/>
        <w:rPr>
          <w:rFonts w:ascii="Times New Roman" w:hAnsi="Times New Roman" w:cs="Times New Roman"/>
          <w:sz w:val="24"/>
          <w:szCs w:val="24"/>
        </w:rPr>
      </w:pPr>
      <w:r w:rsidRPr="0034540D">
        <w:rPr>
          <w:rFonts w:ascii="Times New Roman" w:hAnsi="Times New Roman" w:cs="Times New Roman"/>
          <w:sz w:val="24"/>
          <w:szCs w:val="24"/>
        </w:rPr>
        <w:t>pour les personnes morales autres que les établissements de crédit ,pour une durée de cinq(05)ans , d’exercer les fonctions d’agent de change, l’activité d’intermédiaire en bourse.</w:t>
      </w:r>
    </w:p>
    <w:p w:rsidR="00133F3D" w:rsidRPr="0034540D" w:rsidRDefault="00133F3D" w:rsidP="001E5084">
      <w:pPr>
        <w:tabs>
          <w:tab w:val="left" w:pos="142"/>
          <w:tab w:val="left" w:pos="567"/>
          <w:tab w:val="left" w:pos="709"/>
        </w:tabs>
        <w:autoSpaceDE w:val="0"/>
        <w:autoSpaceDN w:val="0"/>
        <w:adjustRightInd w:val="0"/>
        <w:spacing w:after="0" w:line="360" w:lineRule="auto"/>
        <w:ind w:left="851"/>
        <w:jc w:val="both"/>
        <w:rPr>
          <w:rFonts w:ascii="Times New Roman" w:hAnsi="Times New Roman" w:cs="Times New Roman"/>
          <w:sz w:val="24"/>
          <w:szCs w:val="24"/>
        </w:rPr>
      </w:pPr>
      <w:r w:rsidRPr="0034540D">
        <w:rPr>
          <w:rFonts w:ascii="Times New Roman" w:hAnsi="Times New Roman" w:cs="Times New Roman"/>
          <w:sz w:val="24"/>
          <w:szCs w:val="24"/>
        </w:rPr>
        <w:t xml:space="preserve">Pour toutes ces personnes  de diriger, d’administrer ou de gérer un établissement de crédit ou une de ses agences ; d’exercer l’une des activités des établissements de crédit ; de proposer au public la création d’un établissement de crédit ; de prendre des participations dans le capital d’un établissement de crédit. </w:t>
      </w:r>
    </w:p>
    <w:p w:rsidR="00133F3D" w:rsidRPr="0034540D" w:rsidRDefault="00133F3D" w:rsidP="001E5084">
      <w:pPr>
        <w:tabs>
          <w:tab w:val="left" w:pos="142"/>
          <w:tab w:val="left" w:pos="567"/>
          <w:tab w:val="left" w:pos="709"/>
        </w:tabs>
        <w:autoSpaceDE w:val="0"/>
        <w:autoSpaceDN w:val="0"/>
        <w:adjustRightInd w:val="0"/>
        <w:spacing w:after="0" w:line="360" w:lineRule="auto"/>
        <w:ind w:left="851"/>
        <w:jc w:val="both"/>
        <w:rPr>
          <w:rFonts w:ascii="Times New Roman" w:hAnsi="Times New Roman" w:cs="Times New Roman"/>
          <w:sz w:val="24"/>
          <w:szCs w:val="24"/>
        </w:rPr>
      </w:pPr>
      <w:r w:rsidRPr="0034540D">
        <w:rPr>
          <w:rFonts w:ascii="Times New Roman" w:hAnsi="Times New Roman" w:cs="Times New Roman"/>
          <w:sz w:val="24"/>
          <w:szCs w:val="24"/>
        </w:rPr>
        <w:t>Toutefois,  le retrait de la requête met fin aux poursuites s’il intervient avant le jugement définitif prononcé par les juridictions nationales ou avant l’exécution des condamnations.</w:t>
      </w:r>
    </w:p>
    <w:p w:rsidR="00DA2AE2" w:rsidRPr="0034540D" w:rsidRDefault="00DA2AE2" w:rsidP="001E5084">
      <w:pPr>
        <w:tabs>
          <w:tab w:val="left" w:pos="142"/>
          <w:tab w:val="left" w:pos="567"/>
          <w:tab w:val="left" w:pos="709"/>
        </w:tabs>
        <w:spacing w:line="360" w:lineRule="auto"/>
        <w:jc w:val="both"/>
        <w:rPr>
          <w:rFonts w:ascii="Times New Roman" w:hAnsi="Times New Roman" w:cs="Times New Roman"/>
          <w:b/>
          <w:sz w:val="24"/>
          <w:szCs w:val="24"/>
        </w:rPr>
      </w:pPr>
    </w:p>
    <w:p w:rsidR="00CB5B4A" w:rsidRPr="0034540D" w:rsidRDefault="00CB5B4A" w:rsidP="001E5084">
      <w:pPr>
        <w:tabs>
          <w:tab w:val="left" w:pos="142"/>
          <w:tab w:val="left" w:pos="567"/>
          <w:tab w:val="left" w:pos="709"/>
        </w:tabs>
        <w:spacing w:line="360" w:lineRule="auto"/>
        <w:jc w:val="both"/>
        <w:rPr>
          <w:rFonts w:ascii="Times New Roman" w:hAnsi="Times New Roman" w:cs="Times New Roman"/>
          <w:b/>
          <w:sz w:val="24"/>
          <w:szCs w:val="24"/>
        </w:rPr>
      </w:pPr>
    </w:p>
    <w:p w:rsidR="00CB5B4A" w:rsidRPr="0034540D" w:rsidRDefault="00CB5B4A" w:rsidP="001E5084">
      <w:pPr>
        <w:tabs>
          <w:tab w:val="left" w:pos="142"/>
          <w:tab w:val="left" w:pos="567"/>
          <w:tab w:val="left" w:pos="709"/>
        </w:tabs>
        <w:spacing w:line="360" w:lineRule="auto"/>
        <w:jc w:val="both"/>
        <w:rPr>
          <w:rFonts w:ascii="Times New Roman" w:hAnsi="Times New Roman" w:cs="Times New Roman"/>
          <w:b/>
          <w:sz w:val="24"/>
          <w:szCs w:val="24"/>
        </w:rPr>
      </w:pPr>
    </w:p>
    <w:p w:rsidR="00CB5B4A" w:rsidRPr="0034540D" w:rsidRDefault="00CB5B4A" w:rsidP="001E5084">
      <w:pPr>
        <w:tabs>
          <w:tab w:val="left" w:pos="142"/>
          <w:tab w:val="left" w:pos="567"/>
          <w:tab w:val="left" w:pos="709"/>
        </w:tabs>
        <w:spacing w:line="360" w:lineRule="auto"/>
        <w:jc w:val="both"/>
        <w:rPr>
          <w:rFonts w:ascii="Times New Roman" w:hAnsi="Times New Roman" w:cs="Times New Roman"/>
          <w:b/>
          <w:sz w:val="24"/>
          <w:szCs w:val="24"/>
        </w:rPr>
      </w:pPr>
    </w:p>
    <w:p w:rsidR="00CB5B4A" w:rsidRDefault="00CB5B4A" w:rsidP="001E5084">
      <w:pPr>
        <w:tabs>
          <w:tab w:val="left" w:pos="142"/>
          <w:tab w:val="left" w:pos="567"/>
          <w:tab w:val="left" w:pos="709"/>
        </w:tabs>
        <w:spacing w:line="360" w:lineRule="auto"/>
        <w:jc w:val="both"/>
        <w:rPr>
          <w:rFonts w:ascii="Times New Roman" w:hAnsi="Times New Roman" w:cs="Times New Roman"/>
          <w:b/>
          <w:sz w:val="24"/>
          <w:szCs w:val="24"/>
        </w:rPr>
      </w:pPr>
    </w:p>
    <w:p w:rsidR="0034540D" w:rsidRDefault="0034540D" w:rsidP="001E5084">
      <w:pPr>
        <w:tabs>
          <w:tab w:val="left" w:pos="142"/>
          <w:tab w:val="left" w:pos="567"/>
          <w:tab w:val="left" w:pos="709"/>
        </w:tabs>
        <w:spacing w:line="360" w:lineRule="auto"/>
        <w:jc w:val="both"/>
        <w:rPr>
          <w:rFonts w:ascii="Times New Roman" w:hAnsi="Times New Roman" w:cs="Times New Roman"/>
          <w:b/>
          <w:sz w:val="24"/>
          <w:szCs w:val="24"/>
        </w:rPr>
      </w:pPr>
    </w:p>
    <w:p w:rsidR="0034540D" w:rsidRDefault="0034540D" w:rsidP="001E5084">
      <w:pPr>
        <w:tabs>
          <w:tab w:val="left" w:pos="142"/>
          <w:tab w:val="left" w:pos="567"/>
          <w:tab w:val="left" w:pos="709"/>
        </w:tabs>
        <w:spacing w:line="360" w:lineRule="auto"/>
        <w:jc w:val="both"/>
        <w:rPr>
          <w:rFonts w:ascii="Times New Roman" w:hAnsi="Times New Roman" w:cs="Times New Roman"/>
          <w:b/>
          <w:sz w:val="24"/>
          <w:szCs w:val="24"/>
        </w:rPr>
      </w:pPr>
    </w:p>
    <w:p w:rsidR="0034540D" w:rsidRDefault="0034540D" w:rsidP="001E5084">
      <w:pPr>
        <w:tabs>
          <w:tab w:val="left" w:pos="142"/>
          <w:tab w:val="left" w:pos="567"/>
          <w:tab w:val="left" w:pos="709"/>
        </w:tabs>
        <w:spacing w:line="360" w:lineRule="auto"/>
        <w:jc w:val="both"/>
        <w:rPr>
          <w:rFonts w:ascii="Times New Roman" w:hAnsi="Times New Roman" w:cs="Times New Roman"/>
          <w:b/>
          <w:sz w:val="24"/>
          <w:szCs w:val="24"/>
        </w:rPr>
      </w:pPr>
    </w:p>
    <w:p w:rsidR="0034540D" w:rsidRDefault="0034540D" w:rsidP="001E5084">
      <w:pPr>
        <w:tabs>
          <w:tab w:val="left" w:pos="142"/>
          <w:tab w:val="left" w:pos="567"/>
          <w:tab w:val="left" w:pos="709"/>
        </w:tabs>
        <w:spacing w:line="360" w:lineRule="auto"/>
        <w:jc w:val="both"/>
        <w:rPr>
          <w:rFonts w:ascii="Times New Roman" w:hAnsi="Times New Roman" w:cs="Times New Roman"/>
          <w:b/>
          <w:sz w:val="24"/>
          <w:szCs w:val="24"/>
        </w:rPr>
      </w:pPr>
    </w:p>
    <w:p w:rsidR="007012F2" w:rsidRPr="0034540D" w:rsidRDefault="007012F2" w:rsidP="001E5084">
      <w:pPr>
        <w:tabs>
          <w:tab w:val="left" w:pos="142"/>
          <w:tab w:val="left" w:pos="567"/>
          <w:tab w:val="left" w:pos="709"/>
        </w:tabs>
        <w:jc w:val="center"/>
        <w:rPr>
          <w:rFonts w:ascii="Times New Roman" w:hAnsi="Times New Roman" w:cs="Times New Roman"/>
          <w:b/>
          <w:sz w:val="24"/>
          <w:szCs w:val="24"/>
          <w:u w:val="single"/>
        </w:rPr>
      </w:pPr>
      <w:r w:rsidRPr="0034540D">
        <w:rPr>
          <w:rFonts w:ascii="Times New Roman" w:hAnsi="Times New Roman" w:cs="Times New Roman"/>
          <w:b/>
          <w:sz w:val="24"/>
          <w:szCs w:val="24"/>
          <w:u w:val="single"/>
        </w:rPr>
        <w:t>TITRE XV</w:t>
      </w:r>
    </w:p>
    <w:p w:rsidR="0015323C" w:rsidRPr="0034540D" w:rsidRDefault="0015323C" w:rsidP="001E5084">
      <w:pPr>
        <w:tabs>
          <w:tab w:val="left" w:pos="142"/>
          <w:tab w:val="left" w:pos="567"/>
          <w:tab w:val="left" w:pos="709"/>
        </w:tabs>
        <w:rPr>
          <w:rFonts w:ascii="Times New Roman" w:hAnsi="Times New Roman" w:cs="Times New Roman"/>
          <w:b/>
          <w:sz w:val="24"/>
          <w:szCs w:val="24"/>
          <w:u w:val="single"/>
        </w:rPr>
      </w:pPr>
      <w:r w:rsidRPr="0034540D">
        <w:rPr>
          <w:rFonts w:ascii="Times New Roman" w:hAnsi="Times New Roman" w:cs="Times New Roman"/>
          <w:b/>
          <w:sz w:val="24"/>
          <w:szCs w:val="24"/>
          <w:u w:val="single"/>
        </w:rPr>
        <w:t>DISPOSITIONS SPECIALES RELATIVES AUX STUPEFIANTS, SUBSTANCES PSYCHOTROPES ET PRECURSEURS</w:t>
      </w:r>
    </w:p>
    <w:p w:rsidR="007012F2" w:rsidRPr="0034540D" w:rsidRDefault="0015323C" w:rsidP="001E5084">
      <w:pPr>
        <w:tabs>
          <w:tab w:val="left" w:pos="142"/>
          <w:tab w:val="left" w:pos="567"/>
          <w:tab w:val="left" w:pos="709"/>
        </w:tabs>
        <w:spacing w:line="360" w:lineRule="auto"/>
        <w:rPr>
          <w:rFonts w:ascii="Times New Roman" w:eastAsia="Times New Roman" w:hAnsi="Times New Roman" w:cs="Times New Roman"/>
          <w:sz w:val="24"/>
          <w:szCs w:val="24"/>
          <w:lang w:eastAsia="fr-FR"/>
        </w:rPr>
      </w:pPr>
      <w:r w:rsidRPr="0034540D">
        <w:rPr>
          <w:rFonts w:ascii="Times New Roman" w:hAnsi="Times New Roman" w:cs="Times New Roman"/>
          <w:b/>
          <w:sz w:val="24"/>
          <w:szCs w:val="24"/>
        </w:rPr>
        <w:t>Article 428 : sous réserve des dispositions de la loi n°97-18 du 1</w:t>
      </w:r>
      <w:r w:rsidRPr="0034540D">
        <w:rPr>
          <w:rFonts w:ascii="Times New Roman" w:hAnsi="Times New Roman" w:cs="Times New Roman"/>
          <w:b/>
          <w:sz w:val="24"/>
          <w:szCs w:val="24"/>
          <w:vertAlign w:val="superscript"/>
        </w:rPr>
        <w:t>er</w:t>
      </w:r>
      <w:r w:rsidRPr="0034540D">
        <w:rPr>
          <w:rFonts w:ascii="Times New Roman" w:hAnsi="Times New Roman" w:cs="Times New Roman"/>
          <w:b/>
          <w:sz w:val="24"/>
          <w:szCs w:val="24"/>
        </w:rPr>
        <w:t xml:space="preserve"> décembre 1997 portant Code des drogues</w:t>
      </w:r>
      <w:r w:rsidRPr="0034540D">
        <w:rPr>
          <w:rStyle w:val="Appelnotedebasdep"/>
          <w:rFonts w:ascii="Times New Roman" w:hAnsi="Times New Roman" w:cs="Times New Roman"/>
          <w:b/>
          <w:sz w:val="24"/>
          <w:szCs w:val="24"/>
        </w:rPr>
        <w:footnoteReference w:id="59"/>
      </w:r>
      <w:r w:rsidRPr="0034540D">
        <w:rPr>
          <w:rFonts w:ascii="Times New Roman" w:hAnsi="Times New Roman" w:cs="Times New Roman"/>
          <w:b/>
          <w:sz w:val="24"/>
          <w:szCs w:val="24"/>
        </w:rPr>
        <w:t>, les dispositions  du présent  code s’appliquent en matière de stupéfiants</w:t>
      </w:r>
      <w:r w:rsidRPr="0034540D">
        <w:rPr>
          <w:rStyle w:val="Appelnotedebasdep"/>
          <w:rFonts w:ascii="Times New Roman" w:hAnsi="Times New Roman" w:cs="Times New Roman"/>
          <w:b/>
          <w:sz w:val="24"/>
          <w:szCs w:val="24"/>
        </w:rPr>
        <w:footnoteReference w:id="60"/>
      </w:r>
      <w:r w:rsidRPr="0034540D">
        <w:rPr>
          <w:rFonts w:ascii="Times New Roman" w:hAnsi="Times New Roman" w:cs="Times New Roman"/>
          <w:b/>
          <w:sz w:val="24"/>
          <w:szCs w:val="24"/>
        </w:rPr>
        <w:t>, substances psychotropes</w:t>
      </w:r>
      <w:r w:rsidRPr="0034540D">
        <w:rPr>
          <w:rStyle w:val="Appelnotedebasdep"/>
          <w:rFonts w:ascii="Times New Roman" w:hAnsi="Times New Roman" w:cs="Times New Roman"/>
          <w:b/>
          <w:sz w:val="24"/>
          <w:szCs w:val="24"/>
        </w:rPr>
        <w:footnoteReference w:id="61"/>
      </w:r>
      <w:r w:rsidRPr="0034540D">
        <w:rPr>
          <w:rFonts w:ascii="Times New Roman" w:hAnsi="Times New Roman" w:cs="Times New Roman"/>
          <w:b/>
          <w:sz w:val="24"/>
          <w:szCs w:val="24"/>
        </w:rPr>
        <w:t xml:space="preserve"> et précurseurs</w:t>
      </w:r>
      <w:r w:rsidRPr="0034540D">
        <w:rPr>
          <w:rStyle w:val="Appelnotedebasdep"/>
          <w:rFonts w:ascii="Times New Roman" w:hAnsi="Times New Roman" w:cs="Times New Roman"/>
          <w:b/>
          <w:sz w:val="24"/>
          <w:szCs w:val="24"/>
        </w:rPr>
        <w:footnoteReference w:id="62"/>
      </w:r>
      <w:r w:rsidRPr="0034540D">
        <w:rPr>
          <w:rFonts w:ascii="Times New Roman" w:hAnsi="Times New Roman" w:cs="Times New Roman"/>
          <w:b/>
          <w:sz w:val="24"/>
          <w:szCs w:val="24"/>
        </w:rPr>
        <w:t>.</w:t>
      </w:r>
    </w:p>
    <w:p w:rsidR="007012F2" w:rsidRPr="0034540D" w:rsidRDefault="007012F2"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r w:rsidRPr="0034540D">
        <w:rPr>
          <w:rFonts w:ascii="Times New Roman" w:eastAsia="Times New Roman" w:hAnsi="Times New Roman" w:cs="Times New Roman"/>
          <w:sz w:val="24"/>
          <w:szCs w:val="24"/>
          <w:lang w:eastAsia="fr-FR"/>
        </w:rPr>
        <w:t>Note : La lutte contre le trafic de stupéfiants, des substances psychotropes  et précurseurs demeure une priorité pour les autorités étatiques.</w:t>
      </w:r>
      <w:r w:rsidRPr="0034540D">
        <w:rPr>
          <w:rFonts w:ascii="Times New Roman" w:eastAsia="Times New Roman" w:hAnsi="Times New Roman" w:cs="Times New Roman"/>
          <w:sz w:val="24"/>
          <w:szCs w:val="24"/>
          <w:lang w:eastAsia="fr-FR"/>
        </w:rPr>
        <w:br/>
        <w:t>Le dispositif législatif applicable en cette matière a, depuis plusieurs années, été  renforcé pour rendre plus efficace la lutte contre le trafic de stupéfiants, des substances psychotropes  et précurseurs sous toutes leurs formes.</w:t>
      </w:r>
      <w:r w:rsidRPr="0034540D">
        <w:rPr>
          <w:rFonts w:ascii="Times New Roman" w:eastAsia="Times New Roman" w:hAnsi="Times New Roman" w:cs="Times New Roman"/>
          <w:sz w:val="24"/>
          <w:szCs w:val="24"/>
          <w:lang w:eastAsia="fr-FR"/>
        </w:rPr>
        <w:br/>
        <w:t xml:space="preserve">C’est   ainsi que le code des douanes en son article 428 dispose que « Sous </w:t>
      </w:r>
      <w:r w:rsidRPr="0034540D">
        <w:rPr>
          <w:rFonts w:ascii="Times New Roman" w:hAnsi="Times New Roman" w:cs="Times New Roman"/>
          <w:b/>
          <w:sz w:val="24"/>
          <w:szCs w:val="24"/>
        </w:rPr>
        <w:t>réserve des dispositions de la loi n°97-18 du 1</w:t>
      </w:r>
      <w:r w:rsidRPr="0034540D">
        <w:rPr>
          <w:rFonts w:ascii="Times New Roman" w:hAnsi="Times New Roman" w:cs="Times New Roman"/>
          <w:b/>
          <w:sz w:val="24"/>
          <w:szCs w:val="24"/>
          <w:vertAlign w:val="superscript"/>
        </w:rPr>
        <w:t>er</w:t>
      </w:r>
      <w:r w:rsidRPr="0034540D">
        <w:rPr>
          <w:rFonts w:ascii="Times New Roman" w:hAnsi="Times New Roman" w:cs="Times New Roman"/>
          <w:b/>
          <w:sz w:val="24"/>
          <w:szCs w:val="24"/>
        </w:rPr>
        <w:t xml:space="preserve"> décembre 1997 portant Code des drogues, les dispositions  du présent  code s’appliquent en matière de stupéfiants, substances psychotropes et précurseurs ». </w:t>
      </w:r>
      <w:r w:rsidRPr="0034540D">
        <w:rPr>
          <w:rFonts w:ascii="Times New Roman" w:hAnsi="Times New Roman" w:cs="Times New Roman"/>
          <w:sz w:val="24"/>
          <w:szCs w:val="24"/>
        </w:rPr>
        <w:t>C’est  dire que les dispositions de la loi n° 2014-10 du 28 février 2014 portant code des douanes viennent renforcer ce dispositif de lutte. Elles s’appliquent sous réserve des dispositions du code des drogues qui constitue le cadre législatif premier en la matière. Le but  poursuivi est entre autres d’élargir  le cadre normatif de répression du trafic de drogues notamment la répression  d</w:t>
      </w:r>
      <w:r w:rsidRPr="0034540D">
        <w:rPr>
          <w:rFonts w:ascii="Times New Roman" w:eastAsia="Times New Roman" w:hAnsi="Times New Roman" w:cs="Times New Roman"/>
          <w:sz w:val="24"/>
          <w:szCs w:val="24"/>
          <w:lang w:eastAsia="fr-FR"/>
        </w:rPr>
        <w:t xml:space="preserve">es infractions douanières liées au trafic de stupéfiants, substances psychotrope et précurseurs. </w:t>
      </w:r>
    </w:p>
    <w:p w:rsidR="001E5084" w:rsidRDefault="001E5084"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b/>
          <w:bCs/>
          <w:i/>
          <w:szCs w:val="24"/>
        </w:rPr>
      </w:pPr>
    </w:p>
    <w:p w:rsidR="001E5084" w:rsidRDefault="001E5084"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b/>
          <w:bCs/>
          <w:i/>
          <w:szCs w:val="24"/>
        </w:rPr>
      </w:pPr>
    </w:p>
    <w:p w:rsidR="001E5084" w:rsidRDefault="001E5084"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b/>
          <w:bCs/>
          <w:i/>
          <w:szCs w:val="24"/>
        </w:rPr>
      </w:pPr>
    </w:p>
    <w:p w:rsidR="007012F2" w:rsidRPr="0034540D" w:rsidRDefault="007012F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b/>
          <w:bCs/>
          <w:i/>
          <w:szCs w:val="24"/>
        </w:rPr>
      </w:pPr>
      <w:r w:rsidRPr="0034540D">
        <w:rPr>
          <w:rFonts w:ascii="Times New Roman" w:hAnsi="Times New Roman" w:cs="Times New Roman"/>
          <w:b/>
          <w:bCs/>
          <w:i/>
          <w:szCs w:val="24"/>
        </w:rPr>
        <w:t>ARRÊT N° 136 DU 7 JUILLET 2016</w:t>
      </w:r>
    </w:p>
    <w:p w:rsidR="007012F2" w:rsidRPr="0034540D" w:rsidRDefault="007012F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b/>
          <w:bCs/>
          <w:i/>
          <w:szCs w:val="24"/>
        </w:rPr>
      </w:pPr>
      <w:r w:rsidRPr="0034540D">
        <w:rPr>
          <w:rFonts w:ascii="Times New Roman" w:hAnsi="Times New Roman" w:cs="Times New Roman"/>
          <w:b/>
          <w:bCs/>
          <w:i/>
          <w:szCs w:val="24"/>
        </w:rPr>
        <w:t>LE PROCUREUR GÉNÉRAL PRÈS LA COUR D’APPEL DE THIÈS</w:t>
      </w:r>
    </w:p>
    <w:p w:rsidR="007012F2" w:rsidRPr="0034540D" w:rsidRDefault="007012F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b/>
          <w:bCs/>
          <w:i/>
          <w:szCs w:val="24"/>
        </w:rPr>
      </w:pPr>
      <w:r w:rsidRPr="0034540D">
        <w:rPr>
          <w:rFonts w:ascii="Times New Roman" w:hAnsi="Times New Roman" w:cs="Times New Roman"/>
          <w:b/>
          <w:bCs/>
          <w:i/>
          <w:iCs/>
          <w:szCs w:val="24"/>
        </w:rPr>
        <w:t>c/</w:t>
      </w:r>
      <w:r w:rsidRPr="0034540D">
        <w:rPr>
          <w:rFonts w:ascii="Times New Roman" w:hAnsi="Times New Roman" w:cs="Times New Roman"/>
          <w:b/>
          <w:bCs/>
          <w:i/>
          <w:szCs w:val="24"/>
        </w:rPr>
        <w:t>IBRAHIMA LÈYE ET AUTRES</w:t>
      </w:r>
    </w:p>
    <w:p w:rsidR="007012F2" w:rsidRPr="0034540D" w:rsidRDefault="007012F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i/>
          <w:sz w:val="24"/>
          <w:szCs w:val="24"/>
        </w:rPr>
      </w:pPr>
      <w:r w:rsidRPr="0034540D">
        <w:rPr>
          <w:rFonts w:ascii="Times New Roman" w:hAnsi="Times New Roman" w:cs="Times New Roman"/>
          <w:b/>
          <w:bCs/>
          <w:i/>
          <w:sz w:val="24"/>
          <w:szCs w:val="24"/>
        </w:rPr>
        <w:t>Sur le deuxième pris du caractère dérogatoire de la législation douanière</w:t>
      </w:r>
      <w:r w:rsidRPr="0034540D">
        <w:rPr>
          <w:rFonts w:ascii="Times New Roman" w:hAnsi="Times New Roman" w:cs="Times New Roman"/>
          <w:i/>
          <w:sz w:val="24"/>
          <w:szCs w:val="24"/>
        </w:rPr>
        <w:t>,</w:t>
      </w:r>
    </w:p>
    <w:p w:rsidR="007012F2" w:rsidRDefault="007012F2" w:rsidP="001E5084">
      <w:pPr>
        <w:tabs>
          <w:tab w:val="left" w:pos="142"/>
          <w:tab w:val="left" w:pos="567"/>
          <w:tab w:val="left" w:pos="709"/>
        </w:tabs>
        <w:autoSpaceDE w:val="0"/>
        <w:autoSpaceDN w:val="0"/>
        <w:adjustRightInd w:val="0"/>
        <w:spacing w:after="0" w:line="360" w:lineRule="auto"/>
        <w:jc w:val="both"/>
        <w:rPr>
          <w:rFonts w:ascii="Times New Roman" w:hAnsi="Times New Roman" w:cs="Times New Roman"/>
          <w:i/>
          <w:sz w:val="24"/>
          <w:szCs w:val="24"/>
        </w:rPr>
      </w:pPr>
      <w:r w:rsidRPr="0034540D">
        <w:rPr>
          <w:rFonts w:ascii="Times New Roman" w:hAnsi="Times New Roman" w:cs="Times New Roman"/>
          <w:i/>
          <w:sz w:val="24"/>
          <w:szCs w:val="24"/>
        </w:rPr>
        <w:t>en ce que la chambre d’accusation, portant atteinte au principe général selon lequel « le spécial qui déroge au général », a estimé devoir évoquer un argument de fond pour conforter les dénégations d’Ibrahima LÈYE en soutenant que « les poursuites contre lui ne reposent d’ailleurs que sur la rigueur des dispositions de l’article 369 du code des douanes dans la mesure où il n’a pas pu, par une désignation exacte et régulière des propriétaires des sacs contenant du chanvre indien, mettre l’administration en mesure d’exercer utilement des poursuites contre ces derniers » et a ajouté, mettant ainsi en exergue la bonne foi de l’accusé, que « ce manquement se comprend aisément dans un système de transport public informel où les bagages ne sont pas enregistrés et où seuls l’apprenti et les autres sont en contact direct avec les passagers et leurs bagages », alors que d’une part, une présomption légale de contrebande est établie par l’article 369 du code des douanes et d’autre part, l’article 347 du même code dispose que « sous réserve de l’alinéa 2 du présent article, les contrevenants ne peuvent bénéficier d’aucune excuse sur l’intention… » ;</w:t>
      </w:r>
    </w:p>
    <w:p w:rsidR="001E5084" w:rsidRPr="0034540D" w:rsidRDefault="001E5084" w:rsidP="001E5084">
      <w:pPr>
        <w:tabs>
          <w:tab w:val="left" w:pos="142"/>
          <w:tab w:val="left" w:pos="567"/>
          <w:tab w:val="left" w:pos="709"/>
        </w:tabs>
        <w:autoSpaceDE w:val="0"/>
        <w:autoSpaceDN w:val="0"/>
        <w:adjustRightInd w:val="0"/>
        <w:spacing w:after="0" w:line="360" w:lineRule="auto"/>
        <w:jc w:val="both"/>
        <w:rPr>
          <w:rFonts w:ascii="Times New Roman" w:eastAsia="Times New Roman" w:hAnsi="Times New Roman" w:cs="Times New Roman"/>
          <w:i/>
          <w:sz w:val="24"/>
          <w:szCs w:val="24"/>
          <w:lang w:eastAsia="fr-FR"/>
        </w:rPr>
      </w:pPr>
    </w:p>
    <w:p w:rsidR="007012F2" w:rsidRPr="0034540D" w:rsidRDefault="007012F2" w:rsidP="001E5084">
      <w:pPr>
        <w:tabs>
          <w:tab w:val="left" w:pos="142"/>
          <w:tab w:val="left" w:pos="567"/>
          <w:tab w:val="left" w:pos="709"/>
        </w:tabs>
        <w:spacing w:line="360" w:lineRule="auto"/>
        <w:jc w:val="both"/>
        <w:rPr>
          <w:rFonts w:ascii="Times New Roman" w:hAnsi="Times New Roman" w:cs="Times New Roman"/>
          <w:color w:val="333333"/>
          <w:sz w:val="24"/>
          <w:szCs w:val="24"/>
        </w:rPr>
      </w:pPr>
      <w:r w:rsidRPr="0034540D">
        <w:rPr>
          <w:rFonts w:ascii="Times New Roman" w:eastAsia="Times New Roman" w:hAnsi="Times New Roman" w:cs="Times New Roman"/>
          <w:b/>
          <w:sz w:val="24"/>
          <w:szCs w:val="24"/>
          <w:lang w:eastAsia="fr-FR"/>
        </w:rPr>
        <w:t>Note </w:t>
      </w:r>
      <w:r w:rsidRPr="0034540D">
        <w:rPr>
          <w:rFonts w:ascii="Times New Roman" w:eastAsia="Times New Roman" w:hAnsi="Times New Roman" w:cs="Times New Roman"/>
          <w:sz w:val="24"/>
          <w:szCs w:val="24"/>
          <w:lang w:eastAsia="fr-FR"/>
        </w:rPr>
        <w:t xml:space="preserve">:  L ’Administration  douanière Sénégalaise  , </w:t>
      </w:r>
      <w:r w:rsidRPr="0034540D">
        <w:rPr>
          <w:rFonts w:ascii="Times New Roman" w:hAnsi="Times New Roman" w:cs="Times New Roman"/>
          <w:color w:val="333333"/>
          <w:sz w:val="24"/>
          <w:szCs w:val="24"/>
        </w:rPr>
        <w:t xml:space="preserve">hormis son rôle fiscal qui consiste à liquider, et éventuellement, à collecter les droits et taxes exigibles à l’importation et à l’exportation de marchandises, a pour autres  missions de rechercher, de constater et de poursuivre sur toute l’étendue du territoire les infractions à la législation en matière </w:t>
      </w:r>
      <w:r w:rsidRPr="0034540D">
        <w:rPr>
          <w:rFonts w:ascii="Times New Roman" w:hAnsi="Times New Roman" w:cs="Times New Roman"/>
          <w:sz w:val="24"/>
          <w:szCs w:val="24"/>
        </w:rPr>
        <w:t>de stupéfiants, de  substances psychotropes et précurseurs</w:t>
      </w:r>
      <w:r w:rsidRPr="0034540D">
        <w:rPr>
          <w:rFonts w:ascii="Times New Roman" w:hAnsi="Times New Roman" w:cs="Times New Roman"/>
          <w:color w:val="333333"/>
          <w:sz w:val="24"/>
          <w:szCs w:val="24"/>
        </w:rPr>
        <w:t xml:space="preserve">. </w:t>
      </w:r>
    </w:p>
    <w:p w:rsidR="007012F2" w:rsidRPr="0034540D" w:rsidRDefault="007012F2"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r w:rsidRPr="0034540D">
        <w:rPr>
          <w:rFonts w:ascii="Times New Roman" w:eastAsia="Times New Roman" w:hAnsi="Times New Roman" w:cs="Times New Roman"/>
          <w:sz w:val="24"/>
          <w:szCs w:val="24"/>
          <w:lang w:eastAsia="fr-FR"/>
        </w:rPr>
        <w:t xml:space="preserve">Cette mission confiée à la douane n’est pas fortuite si l’on se réfère aux   quantités importantes de produits stupéfiants et autres substances illicites saisies dans la région Ouest africaine  qui renseignent à suffisance sur la tendance de cette zone à devenir une plateforme dans le trafic international de stupéfiants. Les services douaniers présents aux différentes voies officielles d’entrer sur le territoire national, </w:t>
      </w:r>
      <w:r w:rsidRPr="0034540D">
        <w:rPr>
          <w:rFonts w:ascii="Times New Roman" w:hAnsi="Times New Roman" w:cs="Times New Roman"/>
          <w:color w:val="333333"/>
          <w:sz w:val="24"/>
          <w:szCs w:val="24"/>
        </w:rPr>
        <w:t xml:space="preserve">disposent </w:t>
      </w:r>
      <w:r w:rsidRPr="0034540D">
        <w:rPr>
          <w:rFonts w:ascii="Times New Roman" w:eastAsia="Times New Roman" w:hAnsi="Times New Roman" w:cs="Times New Roman"/>
          <w:sz w:val="24"/>
          <w:szCs w:val="24"/>
          <w:lang w:eastAsia="fr-FR"/>
        </w:rPr>
        <w:t xml:space="preserve"> </w:t>
      </w:r>
      <w:r w:rsidRPr="0034540D">
        <w:rPr>
          <w:rFonts w:ascii="Times New Roman" w:eastAsia="Times New Roman" w:hAnsi="Times New Roman" w:cs="Times New Roman"/>
          <w:sz w:val="24"/>
          <w:szCs w:val="24"/>
          <w:lang w:eastAsia="fr-FR"/>
        </w:rPr>
        <w:lastRenderedPageBreak/>
        <w:t>de pouvoirs et de moyens de contrôle étendus</w:t>
      </w:r>
      <w:r w:rsidRPr="0034540D">
        <w:rPr>
          <w:rStyle w:val="Appelnotedebasdep"/>
          <w:rFonts w:ascii="Times New Roman" w:eastAsia="Times New Roman" w:hAnsi="Times New Roman" w:cs="Times New Roman"/>
          <w:sz w:val="24"/>
          <w:szCs w:val="24"/>
          <w:lang w:eastAsia="fr-FR"/>
        </w:rPr>
        <w:footnoteReference w:id="63"/>
      </w:r>
      <w:r w:rsidRPr="0034540D">
        <w:rPr>
          <w:rFonts w:ascii="Times New Roman" w:eastAsia="Times New Roman" w:hAnsi="Times New Roman" w:cs="Times New Roman"/>
          <w:sz w:val="24"/>
          <w:szCs w:val="24"/>
          <w:lang w:eastAsia="fr-FR"/>
        </w:rPr>
        <w:t xml:space="preserve">, issus du Code des douanes dans le cadre de la lutte contre les drogues.  Ceci n’est pas sans résultant positif dés lors que depuis quelques années, l’essentielle des saisies de drogue, avec des quantités importantes, a été réalisée par la douane.  </w:t>
      </w:r>
    </w:p>
    <w:p w:rsidR="0034540D" w:rsidRP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34540D" w:rsidRDefault="0034540D" w:rsidP="001E5084">
      <w:pPr>
        <w:tabs>
          <w:tab w:val="left" w:pos="142"/>
          <w:tab w:val="left" w:pos="567"/>
          <w:tab w:val="left" w:pos="709"/>
        </w:tabs>
        <w:spacing w:line="360" w:lineRule="auto"/>
        <w:jc w:val="both"/>
        <w:rPr>
          <w:rFonts w:ascii="Times New Roman" w:eastAsia="Times New Roman" w:hAnsi="Times New Roman" w:cs="Times New Roman"/>
          <w:sz w:val="24"/>
          <w:szCs w:val="24"/>
          <w:lang w:eastAsia="fr-FR"/>
        </w:rPr>
      </w:pPr>
    </w:p>
    <w:p w:rsidR="007012F2" w:rsidRPr="0034540D" w:rsidRDefault="0034540D" w:rsidP="001E5084">
      <w:pPr>
        <w:tabs>
          <w:tab w:val="left" w:pos="142"/>
          <w:tab w:val="left" w:pos="567"/>
          <w:tab w:val="left" w:pos="709"/>
        </w:tabs>
        <w:jc w:val="center"/>
        <w:rPr>
          <w:rFonts w:ascii="Times New Roman" w:hAnsi="Times New Roman" w:cs="Times New Roman"/>
          <w:b/>
          <w:sz w:val="24"/>
          <w:szCs w:val="24"/>
        </w:rPr>
      </w:pPr>
      <w:r w:rsidRPr="0034540D">
        <w:rPr>
          <w:rFonts w:ascii="Times New Roman" w:hAnsi="Times New Roman" w:cs="Times New Roman"/>
          <w:b/>
          <w:sz w:val="24"/>
          <w:szCs w:val="24"/>
        </w:rPr>
        <w:t>TITRE XVI</w:t>
      </w:r>
    </w:p>
    <w:p w:rsidR="0034540D" w:rsidRPr="0034540D" w:rsidRDefault="0034540D" w:rsidP="001E5084">
      <w:pPr>
        <w:tabs>
          <w:tab w:val="left" w:pos="142"/>
          <w:tab w:val="left" w:pos="567"/>
          <w:tab w:val="left" w:pos="709"/>
        </w:tabs>
        <w:jc w:val="center"/>
        <w:rPr>
          <w:rFonts w:ascii="Times New Roman" w:hAnsi="Times New Roman" w:cs="Times New Roman"/>
          <w:b/>
          <w:sz w:val="24"/>
          <w:szCs w:val="24"/>
        </w:rPr>
      </w:pPr>
      <w:r w:rsidRPr="0034540D">
        <w:rPr>
          <w:rFonts w:ascii="Times New Roman" w:hAnsi="Times New Roman" w:cs="Times New Roman"/>
          <w:b/>
          <w:sz w:val="24"/>
          <w:szCs w:val="24"/>
        </w:rPr>
        <w:t>DISPOSITIONS FINALES</w:t>
      </w:r>
    </w:p>
    <w:p w:rsidR="0034540D" w:rsidRPr="0034540D" w:rsidRDefault="0034540D" w:rsidP="001E5084">
      <w:pPr>
        <w:tabs>
          <w:tab w:val="left" w:pos="142"/>
          <w:tab w:val="left" w:pos="567"/>
          <w:tab w:val="left" w:pos="709"/>
        </w:tabs>
        <w:rPr>
          <w:rFonts w:ascii="Times New Roman" w:hAnsi="Times New Roman" w:cs="Times New Roman"/>
          <w:b/>
          <w:sz w:val="24"/>
          <w:szCs w:val="24"/>
        </w:rPr>
      </w:pPr>
      <w:r w:rsidRPr="0034540D">
        <w:rPr>
          <w:rFonts w:ascii="Times New Roman" w:hAnsi="Times New Roman" w:cs="Times New Roman"/>
          <w:b/>
          <w:sz w:val="24"/>
          <w:szCs w:val="24"/>
        </w:rPr>
        <w:t>Article 429</w:t>
      </w:r>
    </w:p>
    <w:p w:rsidR="0034540D" w:rsidRPr="001E5084" w:rsidRDefault="0034540D" w:rsidP="001E5084">
      <w:pPr>
        <w:tabs>
          <w:tab w:val="left" w:pos="142"/>
          <w:tab w:val="left" w:pos="567"/>
          <w:tab w:val="left" w:pos="709"/>
        </w:tabs>
        <w:jc w:val="both"/>
        <w:rPr>
          <w:rFonts w:ascii="Times New Roman" w:hAnsi="Times New Roman" w:cs="Times New Roman"/>
          <w:b/>
          <w:sz w:val="24"/>
          <w:szCs w:val="24"/>
        </w:rPr>
      </w:pPr>
      <w:r w:rsidRPr="001E5084">
        <w:rPr>
          <w:rFonts w:ascii="Times New Roman" w:hAnsi="Times New Roman" w:cs="Times New Roman"/>
          <w:b/>
          <w:sz w:val="24"/>
          <w:szCs w:val="24"/>
        </w:rPr>
        <w:t>Sont abrogées</w:t>
      </w:r>
      <w:r w:rsidR="001E5084" w:rsidRPr="001E5084">
        <w:rPr>
          <w:rStyle w:val="Appelnotedebasdep"/>
          <w:rFonts w:ascii="Times New Roman" w:hAnsi="Times New Roman" w:cs="Times New Roman"/>
          <w:b/>
          <w:sz w:val="24"/>
          <w:szCs w:val="24"/>
        </w:rPr>
        <w:footnoteReference w:id="64"/>
      </w:r>
      <w:r w:rsidRPr="001E5084">
        <w:rPr>
          <w:rFonts w:ascii="Times New Roman" w:hAnsi="Times New Roman" w:cs="Times New Roman"/>
          <w:b/>
          <w:sz w:val="24"/>
          <w:szCs w:val="24"/>
        </w:rPr>
        <w:t xml:space="preserve"> toutes  dispositions antérieures contraires, notamment la loi n°87-47 du 28 décembre 1987.</w:t>
      </w:r>
    </w:p>
    <w:p w:rsidR="0034540D" w:rsidRPr="0034540D" w:rsidRDefault="0034540D" w:rsidP="001E5084">
      <w:pPr>
        <w:tabs>
          <w:tab w:val="left" w:pos="142"/>
          <w:tab w:val="left" w:pos="567"/>
          <w:tab w:val="left" w:pos="709"/>
        </w:tabs>
        <w:jc w:val="both"/>
        <w:rPr>
          <w:rFonts w:ascii="Times New Roman" w:hAnsi="Times New Roman" w:cs="Times New Roman"/>
          <w:sz w:val="24"/>
          <w:szCs w:val="24"/>
        </w:rPr>
      </w:pPr>
      <w:r w:rsidRPr="001E5084">
        <w:rPr>
          <w:rFonts w:ascii="Times New Roman" w:hAnsi="Times New Roman" w:cs="Times New Roman"/>
          <w:b/>
          <w:sz w:val="24"/>
          <w:szCs w:val="24"/>
        </w:rPr>
        <w:t>La présente loi sera exécutée comme loi de l’Etat</w:t>
      </w:r>
      <w:r w:rsidRPr="0034540D">
        <w:rPr>
          <w:rFonts w:ascii="Times New Roman" w:hAnsi="Times New Roman" w:cs="Times New Roman"/>
          <w:sz w:val="24"/>
          <w:szCs w:val="24"/>
        </w:rPr>
        <w:t>.</w:t>
      </w:r>
    </w:p>
    <w:p w:rsidR="0034540D" w:rsidRPr="0034540D" w:rsidRDefault="0034540D" w:rsidP="001E5084">
      <w:pPr>
        <w:tabs>
          <w:tab w:val="left" w:pos="142"/>
          <w:tab w:val="left" w:pos="567"/>
          <w:tab w:val="left" w:pos="709"/>
        </w:tabs>
        <w:jc w:val="both"/>
        <w:rPr>
          <w:rFonts w:ascii="Times New Roman" w:hAnsi="Times New Roman" w:cs="Times New Roman"/>
          <w:sz w:val="24"/>
          <w:szCs w:val="24"/>
        </w:rPr>
      </w:pPr>
      <w:r w:rsidRPr="001C6E7C">
        <w:rPr>
          <w:rFonts w:ascii="Times New Roman" w:hAnsi="Times New Roman" w:cs="Times New Roman"/>
          <w:b/>
          <w:sz w:val="24"/>
          <w:szCs w:val="24"/>
        </w:rPr>
        <w:t>Note </w:t>
      </w:r>
      <w:r w:rsidRPr="0034540D">
        <w:rPr>
          <w:rFonts w:ascii="Times New Roman" w:hAnsi="Times New Roman" w:cs="Times New Roman"/>
          <w:sz w:val="24"/>
          <w:szCs w:val="24"/>
        </w:rPr>
        <w:t xml:space="preserve">: la loi </w:t>
      </w:r>
      <w:r w:rsidR="001C6E7C">
        <w:rPr>
          <w:rFonts w:ascii="Times New Roman" w:hAnsi="Times New Roman" w:cs="Times New Roman"/>
          <w:sz w:val="24"/>
          <w:szCs w:val="24"/>
        </w:rPr>
        <w:t>n°87-47 du 28 décembre 1987 portant code des douanes  constituait le troisième code des douanes après ceux de 1932 et 1974.  Elle vient d’être abrogée par la loi N°2014-10 du 28 février 2014. Ce nouveau code des douanes du Sénégal comporte des innovations majeures  pour prendre en compte l’évolution de l’environnement communautaire dans lequel le Sénégal se mout de même que celle des relations de ce dernier avec ses partenaires publics comme privés.</w:t>
      </w:r>
    </w:p>
    <w:p w:rsidR="007012F2" w:rsidRPr="0034540D" w:rsidRDefault="007012F2" w:rsidP="001E5084">
      <w:pPr>
        <w:tabs>
          <w:tab w:val="left" w:pos="142"/>
          <w:tab w:val="left" w:pos="567"/>
          <w:tab w:val="left" w:pos="709"/>
        </w:tabs>
        <w:rPr>
          <w:rFonts w:ascii="Times New Roman" w:hAnsi="Times New Roman" w:cs="Times New Roman"/>
          <w:sz w:val="24"/>
          <w:szCs w:val="24"/>
        </w:rPr>
      </w:pPr>
    </w:p>
    <w:p w:rsidR="007012F2" w:rsidRPr="0034540D" w:rsidRDefault="007012F2" w:rsidP="001E5084">
      <w:pPr>
        <w:tabs>
          <w:tab w:val="left" w:pos="142"/>
          <w:tab w:val="left" w:pos="567"/>
          <w:tab w:val="left" w:pos="709"/>
        </w:tabs>
        <w:rPr>
          <w:rFonts w:ascii="Times New Roman" w:hAnsi="Times New Roman" w:cs="Times New Roman"/>
          <w:sz w:val="24"/>
          <w:szCs w:val="24"/>
        </w:rPr>
      </w:pPr>
    </w:p>
    <w:p w:rsidR="007012F2" w:rsidRPr="0034540D" w:rsidRDefault="007012F2" w:rsidP="001E5084">
      <w:pPr>
        <w:tabs>
          <w:tab w:val="left" w:pos="142"/>
          <w:tab w:val="left" w:pos="567"/>
          <w:tab w:val="left" w:pos="709"/>
        </w:tabs>
        <w:rPr>
          <w:rFonts w:ascii="Times New Roman" w:hAnsi="Times New Roman" w:cs="Times New Roman"/>
          <w:sz w:val="24"/>
          <w:szCs w:val="24"/>
        </w:rPr>
      </w:pPr>
    </w:p>
    <w:p w:rsidR="007012F2" w:rsidRPr="0034540D" w:rsidRDefault="007012F2" w:rsidP="001E5084">
      <w:pPr>
        <w:tabs>
          <w:tab w:val="left" w:pos="142"/>
          <w:tab w:val="left" w:pos="567"/>
          <w:tab w:val="left" w:pos="709"/>
        </w:tabs>
        <w:rPr>
          <w:rFonts w:ascii="Times New Roman" w:hAnsi="Times New Roman" w:cs="Times New Roman"/>
          <w:sz w:val="24"/>
          <w:szCs w:val="24"/>
        </w:rPr>
      </w:pPr>
    </w:p>
    <w:p w:rsidR="007012F2" w:rsidRPr="0034540D" w:rsidRDefault="007012F2" w:rsidP="001E5084">
      <w:pPr>
        <w:tabs>
          <w:tab w:val="left" w:pos="142"/>
          <w:tab w:val="left" w:pos="567"/>
          <w:tab w:val="left" w:pos="709"/>
        </w:tabs>
        <w:rPr>
          <w:rFonts w:ascii="Times New Roman" w:hAnsi="Times New Roman" w:cs="Times New Roman"/>
          <w:sz w:val="24"/>
          <w:szCs w:val="24"/>
        </w:rPr>
      </w:pPr>
    </w:p>
    <w:p w:rsidR="007012F2" w:rsidRPr="0034540D" w:rsidRDefault="007012F2" w:rsidP="001E5084">
      <w:pPr>
        <w:tabs>
          <w:tab w:val="left" w:pos="142"/>
          <w:tab w:val="left" w:pos="567"/>
          <w:tab w:val="left" w:pos="709"/>
        </w:tabs>
        <w:rPr>
          <w:rFonts w:ascii="Times New Roman" w:hAnsi="Times New Roman" w:cs="Times New Roman"/>
          <w:sz w:val="24"/>
          <w:szCs w:val="24"/>
        </w:rPr>
      </w:pPr>
    </w:p>
    <w:sectPr w:rsidR="007012F2" w:rsidRPr="0034540D" w:rsidSect="006304FC">
      <w:pgSz w:w="11906" w:h="16838"/>
      <w:pgMar w:top="1417"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A3F" w:rsidRDefault="00296A3F" w:rsidP="00DA2AE2">
      <w:pPr>
        <w:spacing w:after="0" w:line="240" w:lineRule="auto"/>
      </w:pPr>
      <w:r>
        <w:separator/>
      </w:r>
    </w:p>
  </w:endnote>
  <w:endnote w:type="continuationSeparator" w:id="0">
    <w:p w:rsidR="00296A3F" w:rsidRDefault="00296A3F" w:rsidP="00DA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C Avant Garde Std Cn">
    <w:altName w:val="ITC Avant Garde Std Cn"/>
    <w:panose1 w:val="00000000000000000000"/>
    <w:charset w:val="00"/>
    <w:family w:val="swiss"/>
    <w:notTrueType/>
    <w:pitch w:val="default"/>
    <w:sig w:usb0="00000003" w:usb1="00000000" w:usb2="00000000" w:usb3="00000000" w:csb0="00000001" w:csb1="00000000"/>
  </w:font>
  <w:font w:name="ITCAvantGardeStd-Bold">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A3F" w:rsidRDefault="00296A3F" w:rsidP="00DA2AE2">
      <w:pPr>
        <w:spacing w:after="0" w:line="240" w:lineRule="auto"/>
      </w:pPr>
      <w:r>
        <w:separator/>
      </w:r>
    </w:p>
  </w:footnote>
  <w:footnote w:type="continuationSeparator" w:id="0">
    <w:p w:rsidR="00296A3F" w:rsidRDefault="00296A3F" w:rsidP="00DA2AE2">
      <w:pPr>
        <w:spacing w:after="0" w:line="240" w:lineRule="auto"/>
      </w:pPr>
      <w:r>
        <w:continuationSeparator/>
      </w:r>
    </w:p>
  </w:footnote>
  <w:footnote w:id="1">
    <w:p w:rsidR="002C5FA3" w:rsidRPr="008326A7" w:rsidRDefault="002C5FA3" w:rsidP="008326A7">
      <w:pPr>
        <w:pStyle w:val="Notedebasdepage"/>
        <w:tabs>
          <w:tab w:val="left" w:pos="0"/>
        </w:tabs>
        <w:spacing w:line="360" w:lineRule="auto"/>
        <w:rPr>
          <w:rFonts w:ascii="Tahoma" w:hAnsi="Tahoma" w:cs="Tahoma"/>
          <w:sz w:val="18"/>
          <w:szCs w:val="18"/>
        </w:rPr>
      </w:pPr>
      <w:r>
        <w:rPr>
          <w:rStyle w:val="Appelnotedebasdep"/>
        </w:rPr>
        <w:footnoteRef/>
      </w:r>
      <w:r>
        <w:t xml:space="preserve"> </w:t>
      </w:r>
      <w:r w:rsidRPr="008326A7">
        <w:rPr>
          <w:rFonts w:ascii="Tahoma" w:hAnsi="Tahoma" w:cs="Tahoma"/>
          <w:sz w:val="18"/>
          <w:szCs w:val="18"/>
        </w:rPr>
        <w:t>A travers l’article 22 du  Traité du 14 novembre 1973 constituant l’Union Monétaire Ouest Africain (UMOA),  les Etats membres  de cette  Union ont convenu d’uniformiser la réglementation de leurs relations financières extérieures. Les dispositions de cette réglementation étaient  arrêtées par le Conseil des Ministres avec habilitation donnée à la Banque Centrale des Etats de l’Afrique de l’Ouest (BCEAO)  de proposer les projets de textes à adopter par cet organe et à initier des mesures pour assurer l’application desdits textes.  Cette option a été  confirmée dans le Traité révisé de l’UMOA du 20 janvier 2007 à son article 34.</w:t>
      </w:r>
    </w:p>
  </w:footnote>
  <w:footnote w:id="2">
    <w:p w:rsidR="002C5FA3" w:rsidRPr="008326A7" w:rsidRDefault="002C5FA3" w:rsidP="008326A7">
      <w:pPr>
        <w:pStyle w:val="Notedebasdepage"/>
        <w:spacing w:line="360" w:lineRule="auto"/>
        <w:rPr>
          <w:rFonts w:ascii="Tahoma" w:hAnsi="Tahoma" w:cs="Tahoma"/>
          <w:sz w:val="18"/>
          <w:szCs w:val="18"/>
        </w:rPr>
      </w:pPr>
      <w:r w:rsidRPr="008326A7">
        <w:rPr>
          <w:rStyle w:val="Appelnotedebasdep"/>
          <w:rFonts w:ascii="Tahoma" w:hAnsi="Tahoma" w:cs="Tahoma"/>
          <w:sz w:val="18"/>
          <w:szCs w:val="18"/>
        </w:rPr>
        <w:footnoteRef/>
      </w:r>
      <w:r w:rsidRPr="008326A7">
        <w:rPr>
          <w:rFonts w:ascii="Tahoma" w:hAnsi="Tahoma" w:cs="Tahoma"/>
          <w:sz w:val="18"/>
          <w:szCs w:val="18"/>
        </w:rPr>
        <w:t xml:space="preserve"> Lexique des termes juridiques, 20</w:t>
      </w:r>
      <w:r w:rsidRPr="008326A7">
        <w:rPr>
          <w:rFonts w:ascii="Tahoma" w:hAnsi="Tahoma" w:cs="Tahoma"/>
          <w:sz w:val="18"/>
          <w:szCs w:val="18"/>
          <w:vertAlign w:val="superscript"/>
        </w:rPr>
        <w:t>e</w:t>
      </w:r>
      <w:r w:rsidRPr="008326A7">
        <w:rPr>
          <w:rFonts w:ascii="Tahoma" w:hAnsi="Tahoma" w:cs="Tahoma"/>
          <w:sz w:val="18"/>
          <w:szCs w:val="18"/>
        </w:rPr>
        <w:t xml:space="preserve"> édition, 2013, p.154.</w:t>
      </w:r>
    </w:p>
  </w:footnote>
  <w:footnote w:id="3">
    <w:p w:rsidR="002C5FA3" w:rsidRPr="008326A7" w:rsidRDefault="002C5FA3" w:rsidP="008326A7">
      <w:pPr>
        <w:autoSpaceDE w:val="0"/>
        <w:autoSpaceDN w:val="0"/>
        <w:adjustRightInd w:val="0"/>
        <w:spacing w:after="0" w:line="360" w:lineRule="auto"/>
        <w:jc w:val="both"/>
        <w:rPr>
          <w:rFonts w:ascii="Tahoma" w:hAnsi="Tahoma" w:cs="Tahoma"/>
          <w:sz w:val="18"/>
          <w:szCs w:val="18"/>
        </w:rPr>
      </w:pPr>
      <w:r w:rsidRPr="008326A7">
        <w:rPr>
          <w:rStyle w:val="Appelnotedebasdep"/>
          <w:rFonts w:ascii="Tahoma" w:hAnsi="Tahoma" w:cs="Tahoma"/>
          <w:sz w:val="18"/>
          <w:szCs w:val="18"/>
        </w:rPr>
        <w:footnoteRef/>
      </w:r>
      <w:r w:rsidRPr="008326A7">
        <w:rPr>
          <w:rFonts w:ascii="Tahoma" w:hAnsi="Tahoma" w:cs="Tahoma"/>
          <w:sz w:val="18"/>
          <w:szCs w:val="18"/>
        </w:rPr>
        <w:t xml:space="preserve"> Les Etats </w:t>
      </w:r>
      <w:r w:rsidRPr="008326A7">
        <w:rPr>
          <w:rFonts w:ascii="Tahoma" w:hAnsi="Tahoma" w:cs="Tahoma"/>
          <w:color w:val="000000"/>
          <w:sz w:val="18"/>
          <w:szCs w:val="18"/>
        </w:rPr>
        <w:t>membres de l’UEMOA sont le Bénin, le Burkina Faso, la Côte d’Ivoire, la Guinée Bissau, le Mali, le Niger, le Sénégal et le Togo.</w:t>
      </w:r>
    </w:p>
    <w:p w:rsidR="002C5FA3" w:rsidRDefault="002C5FA3" w:rsidP="00DA2AE2">
      <w:pPr>
        <w:pStyle w:val="Notedebasdepage"/>
      </w:pPr>
    </w:p>
  </w:footnote>
  <w:footnote w:id="4">
    <w:p w:rsidR="002C5FA3" w:rsidRDefault="002C5FA3" w:rsidP="00DA2AE2">
      <w:pPr>
        <w:pStyle w:val="Notedebasdepage"/>
      </w:pPr>
      <w:r>
        <w:rPr>
          <w:rStyle w:val="Appelnotedebasdep"/>
        </w:rPr>
        <w:footnoteRef/>
      </w:r>
      <w:r>
        <w:t xml:space="preserve"> Voir annexe</w:t>
      </w:r>
    </w:p>
  </w:footnote>
  <w:footnote w:id="5">
    <w:p w:rsidR="002C5FA3" w:rsidRDefault="002C5FA3" w:rsidP="00DA2AE2">
      <w:pPr>
        <w:pStyle w:val="Notedebasdepage"/>
      </w:pPr>
      <w:r>
        <w:rPr>
          <w:rStyle w:val="Appelnotedebasdep"/>
        </w:rPr>
        <w:footnoteRef/>
      </w:r>
      <w:r>
        <w:t xml:space="preserve"> Voir annexe</w:t>
      </w:r>
    </w:p>
  </w:footnote>
  <w:footnote w:id="6">
    <w:p w:rsidR="002C5FA3" w:rsidRDefault="002C5FA3" w:rsidP="00DA2AE2">
      <w:pPr>
        <w:pStyle w:val="Notedebasdepage"/>
      </w:pPr>
      <w:r>
        <w:rPr>
          <w:rStyle w:val="Appelnotedebasdep"/>
        </w:rPr>
        <w:footnoteRef/>
      </w:r>
      <w:r>
        <w:t xml:space="preserve"> Voir annexe</w:t>
      </w:r>
    </w:p>
  </w:footnote>
  <w:footnote w:id="7">
    <w:p w:rsidR="002C5FA3" w:rsidRDefault="002C5FA3">
      <w:pPr>
        <w:pStyle w:val="Notedebasdepage"/>
      </w:pPr>
      <w:r>
        <w:rPr>
          <w:rStyle w:val="Appelnotedebasdep"/>
        </w:rPr>
        <w:footnoteRef/>
      </w:r>
      <w:r>
        <w:t xml:space="preserve"> Infraction est la violation d’une loi ,d’un norme , etc. ( dictionnaire Larousse ).  </w:t>
      </w:r>
    </w:p>
  </w:footnote>
  <w:footnote w:id="8">
    <w:p w:rsidR="002C5FA3" w:rsidRDefault="002C5FA3" w:rsidP="0067655F">
      <w:pPr>
        <w:pStyle w:val="Notedebasdepage"/>
      </w:pPr>
      <w:r>
        <w:rPr>
          <w:rStyle w:val="Appelnotedebasdep"/>
        </w:rPr>
        <w:footnoteRef/>
      </w:r>
      <w:r>
        <w:t xml:space="preserve"> </w:t>
      </w:r>
      <w:r w:rsidRPr="009619F4">
        <w:rPr>
          <w:rFonts w:ascii="Times New Roman" w:eastAsia="Times New Roman" w:hAnsi="Times New Roman" w:cs="Times New Roman"/>
          <w:color w:val="333333"/>
          <w:sz w:val="24"/>
          <w:szCs w:val="24"/>
          <w:lang w:eastAsia="fr-FR"/>
        </w:rPr>
        <w:t>(Constance Gwen, La réglementation des changes: une mesure de contrôle de la monnaie, in Aquadesign.be, mars 2007).</w:t>
      </w:r>
    </w:p>
  </w:footnote>
  <w:footnote w:id="9">
    <w:p w:rsidR="002C5FA3" w:rsidRPr="00AC22AD" w:rsidRDefault="002C5FA3" w:rsidP="00AC22AD">
      <w:pPr>
        <w:autoSpaceDE w:val="0"/>
        <w:autoSpaceDN w:val="0"/>
        <w:adjustRightInd w:val="0"/>
        <w:spacing w:after="0"/>
        <w:jc w:val="both"/>
        <w:rPr>
          <w:rFonts w:ascii="Tahoma" w:hAnsi="Tahoma" w:cs="Tahoma"/>
          <w:sz w:val="20"/>
          <w:szCs w:val="20"/>
        </w:rPr>
      </w:pPr>
      <w:r w:rsidRPr="00AC22AD">
        <w:rPr>
          <w:rStyle w:val="Appelnotedebasdep"/>
          <w:rFonts w:ascii="Tahoma" w:hAnsi="Tahoma" w:cs="Tahoma"/>
          <w:sz w:val="20"/>
          <w:szCs w:val="20"/>
        </w:rPr>
        <w:footnoteRef/>
      </w:r>
      <w:r w:rsidRPr="00AC22AD">
        <w:rPr>
          <w:rFonts w:ascii="Tahoma" w:hAnsi="Tahoma" w:cs="Tahoma"/>
          <w:sz w:val="20"/>
          <w:szCs w:val="20"/>
        </w:rPr>
        <w:t xml:space="preserve"> Résidents : Personnes  physiques ayant leur principal centre d’intérêt dans un Etat membre de l’UEMOA, fonctionnaires nationaux en poste à l’étranger et personnes morales nationales ou étrangères pour leurs établissements dans un Etat membre de l’UEMOA.</w:t>
      </w:r>
    </w:p>
    <w:p w:rsidR="002C5FA3" w:rsidRPr="00EA4753" w:rsidRDefault="002C5FA3" w:rsidP="00EA4753">
      <w:pPr>
        <w:autoSpaceDE w:val="0"/>
        <w:autoSpaceDN w:val="0"/>
        <w:adjustRightInd w:val="0"/>
        <w:spacing w:after="0" w:line="360" w:lineRule="auto"/>
        <w:jc w:val="both"/>
        <w:rPr>
          <w:rFonts w:ascii="Tahoma" w:hAnsi="Tahoma" w:cs="Tahoma"/>
          <w:sz w:val="20"/>
          <w:szCs w:val="20"/>
        </w:rPr>
      </w:pPr>
      <w:r w:rsidRPr="00AC22AD">
        <w:rPr>
          <w:rFonts w:ascii="Tahoma" w:hAnsi="Tahoma" w:cs="Tahoma"/>
          <w:sz w:val="20"/>
          <w:szCs w:val="20"/>
        </w:rPr>
        <w:t xml:space="preserve">Toutefois, les résidents des autres pays membres de la Zone franc sont assimilés à des résidents de l’UEMOA, sauf pour le traitement des opérations suivantes : domiciliation des </w:t>
      </w:r>
      <w:r w:rsidRPr="00EA4753">
        <w:rPr>
          <w:rFonts w:ascii="Tahoma" w:hAnsi="Tahoma" w:cs="Tahoma"/>
          <w:sz w:val="20"/>
          <w:szCs w:val="20"/>
        </w:rPr>
        <w:t>exportations et rapatriement du produit de leurs recettes, émission et mise en vente de valeurs mobilières étrangères, importation et exportation d’or, opération d’investissement</w:t>
      </w:r>
    </w:p>
    <w:p w:rsidR="002C5FA3" w:rsidRPr="00EA4753" w:rsidRDefault="002C5FA3" w:rsidP="00EA4753">
      <w:pPr>
        <w:autoSpaceDE w:val="0"/>
        <w:autoSpaceDN w:val="0"/>
        <w:adjustRightInd w:val="0"/>
        <w:spacing w:after="0" w:line="360" w:lineRule="auto"/>
        <w:jc w:val="both"/>
        <w:rPr>
          <w:rFonts w:ascii="Tahoma" w:hAnsi="Tahoma" w:cs="Tahoma"/>
          <w:sz w:val="20"/>
          <w:szCs w:val="20"/>
        </w:rPr>
      </w:pPr>
      <w:r w:rsidRPr="00EA4753">
        <w:rPr>
          <w:rFonts w:ascii="Tahoma" w:hAnsi="Tahoma" w:cs="Tahoma"/>
          <w:sz w:val="20"/>
          <w:szCs w:val="20"/>
        </w:rPr>
        <w:t>et d’emprunt. ( Règlement n° 09/2010/CM/UEMOA du 1er octobre 2010 relatif aux relations financières extérieures des Etats membres de l’Union Economique et Monétaire Ouest Africaine (</w:t>
      </w:r>
      <w:r w:rsidRPr="00EA4753">
        <w:rPr>
          <w:rFonts w:ascii="Tahoma" w:hAnsi="Tahoma" w:cs="Tahoma"/>
          <w:b/>
          <w:sz w:val="20"/>
          <w:szCs w:val="20"/>
        </w:rPr>
        <w:t>UEMOA).</w:t>
      </w:r>
    </w:p>
    <w:p w:rsidR="002C5FA3" w:rsidRPr="00EA4753" w:rsidRDefault="002C5FA3" w:rsidP="00EA4753">
      <w:pPr>
        <w:pStyle w:val="Notedebasdepage"/>
        <w:spacing w:line="360" w:lineRule="auto"/>
        <w:jc w:val="both"/>
        <w:rPr>
          <w:rFonts w:ascii="Tahoma" w:hAnsi="Tahoma" w:cs="Tahoma"/>
        </w:rPr>
      </w:pPr>
      <w:r w:rsidRPr="00EA4753">
        <w:rPr>
          <w:rStyle w:val="Appelnotedebasdep"/>
          <w:rFonts w:ascii="Tahoma" w:hAnsi="Tahoma" w:cs="Tahoma"/>
        </w:rPr>
        <w:footnoteRef/>
      </w:r>
      <w:r w:rsidRPr="00EA4753">
        <w:rPr>
          <w:rFonts w:ascii="Tahoma" w:hAnsi="Tahoma" w:cs="Tahoma"/>
        </w:rPr>
        <w:t xml:space="preserve"> .Article 10 al.6 du règlement 09/2010 : </w:t>
      </w:r>
      <w:r w:rsidRPr="00EA4753">
        <w:rPr>
          <w:rFonts w:ascii="Tahoma" w:hAnsi="Tahoma" w:cs="Tahoma"/>
          <w:b/>
        </w:rPr>
        <w:t xml:space="preserve">« ………. </w:t>
      </w:r>
      <w:r w:rsidRPr="00EA4753">
        <w:rPr>
          <w:rFonts w:ascii="Tahoma" w:hAnsi="Tahoma" w:cs="Tahoma"/>
        </w:rPr>
        <w:t>La liquidation des investissements d’un résident à l’étranger doit faire l’objet d’une déclaration à titre d’information à adresser au Ministre chargé des Finances…... ».</w:t>
      </w:r>
    </w:p>
  </w:footnote>
  <w:footnote w:id="10">
    <w:p w:rsidR="002C5FA3" w:rsidRPr="00EA4753" w:rsidRDefault="002C5FA3" w:rsidP="00EA4753">
      <w:pPr>
        <w:pStyle w:val="Notedebasdepage"/>
        <w:spacing w:line="360" w:lineRule="auto"/>
        <w:rPr>
          <w:rFonts w:ascii="Tahoma" w:hAnsi="Tahoma" w:cs="Tahoma"/>
        </w:rPr>
      </w:pPr>
    </w:p>
  </w:footnote>
  <w:footnote w:id="11">
    <w:p w:rsidR="002C5FA3" w:rsidRPr="00EA4753" w:rsidRDefault="002C5FA3" w:rsidP="00EA4753">
      <w:pPr>
        <w:autoSpaceDE w:val="0"/>
        <w:autoSpaceDN w:val="0"/>
        <w:adjustRightInd w:val="0"/>
        <w:spacing w:after="0" w:line="360" w:lineRule="auto"/>
        <w:jc w:val="both"/>
        <w:rPr>
          <w:rFonts w:ascii="Tahoma" w:hAnsi="Tahoma" w:cs="Tahoma"/>
          <w:sz w:val="20"/>
          <w:szCs w:val="20"/>
        </w:rPr>
      </w:pPr>
      <w:r w:rsidRPr="00EA4753">
        <w:rPr>
          <w:rStyle w:val="Appelnotedebasdep"/>
          <w:rFonts w:ascii="Tahoma" w:hAnsi="Tahoma" w:cs="Tahoma"/>
          <w:sz w:val="20"/>
          <w:szCs w:val="20"/>
        </w:rPr>
        <w:footnoteRef/>
      </w:r>
      <w:r w:rsidRPr="00EA4753">
        <w:rPr>
          <w:rFonts w:ascii="Tahoma" w:hAnsi="Tahoma" w:cs="Tahoma"/>
          <w:sz w:val="20"/>
          <w:szCs w:val="20"/>
        </w:rPr>
        <w:t xml:space="preserve"> Non-résidents :  les personnes physiques ayant leur principal centre d’intérêt à l’étranger, fonctionnaires étrangers en poste dans un Etat membre de l’UEMOA et personnes morales nationales ou étrangères pour leurs établissements à l’étranger.</w:t>
      </w:r>
    </w:p>
  </w:footnote>
  <w:footnote w:id="12">
    <w:p w:rsidR="002C5FA3" w:rsidRPr="00EA4753" w:rsidRDefault="002C5FA3" w:rsidP="00EA4753">
      <w:pPr>
        <w:autoSpaceDE w:val="0"/>
        <w:autoSpaceDN w:val="0"/>
        <w:adjustRightInd w:val="0"/>
        <w:spacing w:after="0" w:line="360" w:lineRule="auto"/>
        <w:jc w:val="both"/>
        <w:rPr>
          <w:rFonts w:ascii="Tahoma" w:hAnsi="Tahoma" w:cs="Tahoma"/>
          <w:sz w:val="20"/>
          <w:szCs w:val="20"/>
        </w:rPr>
      </w:pPr>
      <w:r w:rsidRPr="00EA4753">
        <w:rPr>
          <w:rStyle w:val="Appelnotedebasdep"/>
          <w:rFonts w:ascii="Tahoma" w:hAnsi="Tahoma" w:cs="Tahoma"/>
          <w:sz w:val="20"/>
          <w:szCs w:val="20"/>
        </w:rPr>
        <w:footnoteRef/>
      </w:r>
      <w:r w:rsidRPr="00EA4753">
        <w:rPr>
          <w:rFonts w:ascii="Tahoma" w:hAnsi="Tahoma" w:cs="Tahoma"/>
          <w:sz w:val="20"/>
          <w:szCs w:val="20"/>
        </w:rPr>
        <w:t xml:space="preserve"> </w:t>
      </w:r>
      <w:r w:rsidRPr="00EA4753">
        <w:rPr>
          <w:rFonts w:ascii="Tahoma" w:hAnsi="Tahoma" w:cs="Tahoma"/>
          <w:b/>
          <w:sz w:val="20"/>
          <w:szCs w:val="20"/>
        </w:rPr>
        <w:t>Article 10 alinéa  7 : « </w:t>
      </w:r>
      <w:r w:rsidRPr="00EA4753">
        <w:rPr>
          <w:rFonts w:ascii="Tahoma" w:hAnsi="Tahoma" w:cs="Tahoma"/>
          <w:sz w:val="20"/>
          <w:szCs w:val="20"/>
        </w:rPr>
        <w:t>La constitution d’investissements étrangers dans un Etat membre de l’UEMOA et la cession d’investissements entre non-résidents sont libres. Ces opérations font l’objet de déclaration à des fins statistiques, à la Direction chargée des Finances Extérieures et à la BCEAO, lorsqu’il s’agit d’investissements directs ».</w:t>
      </w:r>
    </w:p>
  </w:footnote>
  <w:footnote w:id="13">
    <w:p w:rsidR="002C5FA3" w:rsidRPr="00EA4753" w:rsidRDefault="002C5FA3" w:rsidP="00EA4753">
      <w:pPr>
        <w:autoSpaceDE w:val="0"/>
        <w:autoSpaceDN w:val="0"/>
        <w:adjustRightInd w:val="0"/>
        <w:spacing w:after="0" w:line="360" w:lineRule="auto"/>
        <w:jc w:val="both"/>
        <w:rPr>
          <w:rFonts w:ascii="Tahoma" w:hAnsi="Tahoma" w:cs="Tahoma"/>
          <w:b/>
          <w:sz w:val="20"/>
          <w:szCs w:val="20"/>
        </w:rPr>
      </w:pPr>
      <w:r w:rsidRPr="00EA4753">
        <w:rPr>
          <w:rStyle w:val="Appelnotedebasdep"/>
          <w:rFonts w:ascii="Tahoma" w:hAnsi="Tahoma" w:cs="Tahoma"/>
          <w:sz w:val="20"/>
          <w:szCs w:val="20"/>
        </w:rPr>
        <w:footnoteRef/>
      </w:r>
      <w:r w:rsidRPr="00EA4753">
        <w:rPr>
          <w:rFonts w:ascii="Tahoma" w:hAnsi="Tahoma" w:cs="Tahoma"/>
          <w:sz w:val="20"/>
          <w:szCs w:val="20"/>
        </w:rPr>
        <w:t xml:space="preserve"> </w:t>
      </w:r>
      <w:r>
        <w:rPr>
          <w:rFonts w:ascii="Tahoma" w:hAnsi="Tahoma" w:cs="Tahoma"/>
          <w:sz w:val="20"/>
          <w:szCs w:val="20"/>
        </w:rPr>
        <w:t>A</w:t>
      </w:r>
      <w:r w:rsidRPr="00EA4753">
        <w:rPr>
          <w:rFonts w:ascii="Tahoma" w:hAnsi="Tahoma" w:cs="Tahoma"/>
          <w:sz w:val="20"/>
          <w:szCs w:val="20"/>
        </w:rPr>
        <w:t xml:space="preserve">nnexe VII relative à la </w:t>
      </w:r>
      <w:r w:rsidRPr="00EA4753">
        <w:rPr>
          <w:rFonts w:ascii="Tahoma" w:hAnsi="Tahoma" w:cs="Tahoma"/>
          <w:bCs/>
          <w:sz w:val="20"/>
          <w:szCs w:val="20"/>
        </w:rPr>
        <w:t>demande d’autorisation ou déclaration  d’investissements ou d’emprunts</w:t>
      </w:r>
    </w:p>
    <w:p w:rsidR="002C5FA3" w:rsidRDefault="002C5FA3" w:rsidP="00DA2AE2">
      <w:pPr>
        <w:pStyle w:val="Notedebasdepage"/>
      </w:pPr>
    </w:p>
  </w:footnote>
  <w:footnote w:id="14">
    <w:p w:rsidR="002C5FA3" w:rsidRDefault="002C5FA3">
      <w:pPr>
        <w:pStyle w:val="Notedebasdepage"/>
      </w:pPr>
      <w:r>
        <w:rPr>
          <w:rStyle w:val="Appelnotedebasdep"/>
        </w:rPr>
        <w:footnoteRef/>
      </w:r>
      <w:r>
        <w:t xml:space="preserve"> Synonyme de monnaie….. le terme désigne, de manière collective, l’ensemble des monnaies étrangères pa opposition à la monnaie nationale. </w:t>
      </w:r>
    </w:p>
  </w:footnote>
  <w:footnote w:id="15">
    <w:p w:rsidR="002C5FA3" w:rsidRPr="0097646D" w:rsidRDefault="002C5FA3" w:rsidP="0097646D">
      <w:pPr>
        <w:autoSpaceDE w:val="0"/>
        <w:autoSpaceDN w:val="0"/>
        <w:adjustRightInd w:val="0"/>
        <w:spacing w:after="0"/>
        <w:jc w:val="both"/>
        <w:rPr>
          <w:rFonts w:ascii="Tahoma" w:hAnsi="Tahoma" w:cs="Tahoma"/>
          <w:sz w:val="20"/>
          <w:szCs w:val="20"/>
        </w:rPr>
      </w:pPr>
      <w:r w:rsidRPr="0097646D">
        <w:rPr>
          <w:rStyle w:val="Appelnotedebasdep"/>
          <w:rFonts w:ascii="Tahoma" w:hAnsi="Tahoma" w:cs="Tahoma"/>
          <w:sz w:val="20"/>
          <w:szCs w:val="20"/>
        </w:rPr>
        <w:footnoteRef/>
      </w:r>
      <w:r w:rsidRPr="0097646D">
        <w:rPr>
          <w:rFonts w:ascii="Tahoma" w:hAnsi="Tahoma" w:cs="Tahoma"/>
          <w:sz w:val="20"/>
          <w:szCs w:val="20"/>
        </w:rPr>
        <w:t xml:space="preserve"> Article 10 alinéa 6 du Règlement 09/2010/CM/UEMOA « ….  Si le réinvestissement à l’étranger n’a pas fait l’objet d’une autorisation, le produit de la liquidation doit donner lieu</w:t>
      </w:r>
    </w:p>
    <w:p w:rsidR="002C5FA3" w:rsidRPr="0097646D" w:rsidRDefault="002C5FA3" w:rsidP="0097646D">
      <w:pPr>
        <w:autoSpaceDE w:val="0"/>
        <w:autoSpaceDN w:val="0"/>
        <w:adjustRightInd w:val="0"/>
        <w:spacing w:after="0"/>
        <w:jc w:val="both"/>
        <w:rPr>
          <w:rFonts w:ascii="Tahoma" w:hAnsi="Tahoma" w:cs="Tahoma"/>
          <w:sz w:val="20"/>
          <w:szCs w:val="20"/>
        </w:rPr>
      </w:pPr>
      <w:r w:rsidRPr="0097646D">
        <w:rPr>
          <w:rFonts w:ascii="Tahoma" w:hAnsi="Tahoma" w:cs="Tahoma"/>
          <w:sz w:val="20"/>
          <w:szCs w:val="20"/>
        </w:rPr>
        <w:t>à un rapatriement effectif dans le pays d’origine, dans un délai d’un (1) mois, par l’entremise d’un intermédiaire agréé… ».</w:t>
      </w:r>
    </w:p>
  </w:footnote>
  <w:footnote w:id="16">
    <w:p w:rsidR="002C5FA3" w:rsidRPr="0097646D" w:rsidRDefault="002C5FA3" w:rsidP="0097646D">
      <w:pPr>
        <w:autoSpaceDE w:val="0"/>
        <w:autoSpaceDN w:val="0"/>
        <w:adjustRightInd w:val="0"/>
        <w:spacing w:after="0"/>
        <w:jc w:val="both"/>
        <w:rPr>
          <w:rFonts w:ascii="Tahoma" w:hAnsi="Tahoma" w:cs="Tahoma"/>
          <w:sz w:val="20"/>
          <w:szCs w:val="20"/>
        </w:rPr>
      </w:pPr>
      <w:r w:rsidRPr="0097646D">
        <w:rPr>
          <w:rStyle w:val="Appelnotedebasdep"/>
          <w:rFonts w:ascii="Tahoma" w:hAnsi="Tahoma" w:cs="Tahoma"/>
          <w:sz w:val="20"/>
          <w:szCs w:val="20"/>
        </w:rPr>
        <w:footnoteRef/>
      </w:r>
      <w:r w:rsidRPr="0097646D">
        <w:rPr>
          <w:rFonts w:ascii="Tahoma" w:hAnsi="Tahoma" w:cs="Tahoma"/>
          <w:sz w:val="20"/>
          <w:szCs w:val="20"/>
        </w:rPr>
        <w:t xml:space="preserve"> article 11 de </w:t>
      </w:r>
      <w:r w:rsidRPr="0097646D">
        <w:rPr>
          <w:rFonts w:ascii="Tahoma" w:eastAsia="Times New Roman" w:hAnsi="Tahoma" w:cs="Tahoma"/>
          <w:color w:val="4F4F4F"/>
          <w:sz w:val="20"/>
          <w:szCs w:val="20"/>
          <w:lang w:eastAsia="fr-FR"/>
        </w:rPr>
        <w:t xml:space="preserve">l’annexe </w:t>
      </w:r>
      <w:r w:rsidRPr="0097646D">
        <w:rPr>
          <w:rFonts w:ascii="Tahoma" w:hAnsi="Tahoma" w:cs="Tahoma"/>
          <w:b/>
          <w:bCs/>
          <w:sz w:val="20"/>
          <w:szCs w:val="20"/>
        </w:rPr>
        <w:t xml:space="preserve">II  </w:t>
      </w:r>
      <w:r w:rsidRPr="0097646D">
        <w:rPr>
          <w:rFonts w:ascii="Tahoma" w:hAnsi="Tahoma" w:cs="Tahoma"/>
          <w:bCs/>
          <w:sz w:val="20"/>
          <w:szCs w:val="20"/>
        </w:rPr>
        <w:t>du règlement 09/2010/CM/UEMAO relative aux procédures  particulières d’exécution  de certains règlements</w:t>
      </w:r>
      <w:r w:rsidRPr="0097646D">
        <w:rPr>
          <w:rFonts w:ascii="Tahoma" w:hAnsi="Tahoma" w:cs="Tahoma"/>
          <w:b/>
          <w:bCs/>
          <w:sz w:val="20"/>
          <w:szCs w:val="20"/>
        </w:rPr>
        <w:t xml:space="preserve"> « </w:t>
      </w:r>
      <w:r w:rsidRPr="0097646D">
        <w:rPr>
          <w:rFonts w:ascii="Tahoma" w:hAnsi="Tahoma" w:cs="Tahoma"/>
          <w:sz w:val="20"/>
          <w:szCs w:val="20"/>
        </w:rPr>
        <w:t>Les opérateurs économiques résidents sont tenus d’encaisser et de rapatrier dans le pays d’origine, auprès de la banque domiciliataire, l’intégralité des  sommes provenant des ventes de marchandises à l’étranger, dans un délai d’un (1) mois à compter de la date d’exigibilité du paiement….. ».</w:t>
      </w:r>
    </w:p>
  </w:footnote>
  <w:footnote w:id="17">
    <w:p w:rsidR="002C5FA3" w:rsidRDefault="002C5FA3" w:rsidP="0097646D">
      <w:pPr>
        <w:autoSpaceDE w:val="0"/>
        <w:autoSpaceDN w:val="0"/>
        <w:adjustRightInd w:val="0"/>
        <w:spacing w:after="0"/>
        <w:jc w:val="both"/>
      </w:pPr>
      <w:r w:rsidRPr="0097646D">
        <w:rPr>
          <w:rStyle w:val="Appelnotedebasdep"/>
          <w:rFonts w:ascii="Tahoma" w:hAnsi="Tahoma" w:cs="Tahoma"/>
          <w:sz w:val="20"/>
          <w:szCs w:val="20"/>
        </w:rPr>
        <w:footnoteRef/>
      </w:r>
      <w:r w:rsidRPr="0097646D">
        <w:rPr>
          <w:rFonts w:ascii="Tahoma" w:hAnsi="Tahoma" w:cs="Tahoma"/>
          <w:sz w:val="20"/>
          <w:szCs w:val="20"/>
        </w:rPr>
        <w:t xml:space="preserve"> L’intermédiaire agréé doit procéder au rapatriement effectif du produit des recettes  d’exportation, par le canal de la BCEAO. La cession des devises à la Banque Centrale est réalisée conformément aux prescriptions réglementaires en vigueur.( point 5 de l’Avis n°002-06-2015 du 1</w:t>
      </w:r>
      <w:r w:rsidRPr="0097646D">
        <w:rPr>
          <w:rFonts w:ascii="Tahoma" w:hAnsi="Tahoma" w:cs="Tahoma"/>
          <w:sz w:val="20"/>
          <w:szCs w:val="20"/>
          <w:vertAlign w:val="superscript"/>
        </w:rPr>
        <w:t>er</w:t>
      </w:r>
      <w:r w:rsidRPr="0097646D">
        <w:rPr>
          <w:rFonts w:ascii="Tahoma" w:hAnsi="Tahoma" w:cs="Tahoma"/>
          <w:sz w:val="20"/>
          <w:szCs w:val="20"/>
        </w:rPr>
        <w:t xml:space="preserve"> juin 2015 relatif aux modalités de traitement du préfinancement des exportations de marchandises).</w:t>
      </w:r>
    </w:p>
  </w:footnote>
  <w:footnote w:id="18">
    <w:p w:rsidR="002C5FA3" w:rsidRPr="00B26A48" w:rsidRDefault="002C5FA3" w:rsidP="00B26A48">
      <w:pPr>
        <w:autoSpaceDE w:val="0"/>
        <w:autoSpaceDN w:val="0"/>
        <w:adjustRightInd w:val="0"/>
        <w:spacing w:after="0" w:line="360" w:lineRule="auto"/>
        <w:jc w:val="both"/>
        <w:rPr>
          <w:rFonts w:ascii="Tahoma" w:hAnsi="Tahoma" w:cs="Tahoma"/>
          <w:sz w:val="20"/>
          <w:szCs w:val="20"/>
        </w:rPr>
      </w:pPr>
      <w:r>
        <w:rPr>
          <w:rStyle w:val="Appelnotedebasdep"/>
        </w:rPr>
        <w:footnoteRef/>
      </w:r>
      <w:r w:rsidRPr="00B26A48">
        <w:rPr>
          <w:rFonts w:ascii="Tahoma" w:hAnsi="Tahoma" w:cs="Tahoma"/>
          <w:sz w:val="20"/>
          <w:szCs w:val="20"/>
        </w:rPr>
        <w:t xml:space="preserve">Article 1 de la Loi n°2014-12 du 28 février 2014  </w:t>
      </w:r>
      <w:r w:rsidRPr="00B26A48">
        <w:rPr>
          <w:rFonts w:ascii="Tahoma" w:hAnsi="Tahoma" w:cs="Tahoma"/>
          <w:bCs/>
          <w:sz w:val="20"/>
          <w:szCs w:val="20"/>
        </w:rPr>
        <w:t>sur le contentieux des infractions a la réglementation  des relations financières  extérieures  des ETATS MEMBRES DE L’UNION ECONOMIQUE ET MONETAIRE OUEST AFRICAINE (UEMOA)</w:t>
      </w:r>
    </w:p>
  </w:footnote>
  <w:footnote w:id="19">
    <w:p w:rsidR="002C5FA3" w:rsidRPr="00B26A48" w:rsidRDefault="002C5FA3" w:rsidP="00B26A48">
      <w:pPr>
        <w:autoSpaceDE w:val="0"/>
        <w:autoSpaceDN w:val="0"/>
        <w:adjustRightInd w:val="0"/>
        <w:spacing w:after="0" w:line="360" w:lineRule="auto"/>
        <w:jc w:val="both"/>
        <w:rPr>
          <w:rFonts w:ascii="Tahoma" w:hAnsi="Tahoma" w:cs="Tahoma"/>
          <w:sz w:val="20"/>
          <w:szCs w:val="20"/>
        </w:rPr>
      </w:pPr>
      <w:r w:rsidRPr="00B26A48">
        <w:rPr>
          <w:rStyle w:val="Appelnotedebasdep"/>
          <w:rFonts w:ascii="Tahoma" w:hAnsi="Tahoma" w:cs="Tahoma"/>
          <w:sz w:val="20"/>
          <w:szCs w:val="20"/>
        </w:rPr>
        <w:footnoteRef/>
      </w:r>
      <w:r w:rsidRPr="00B26A48">
        <w:rPr>
          <w:rFonts w:ascii="Tahoma" w:hAnsi="Tahoma" w:cs="Tahoma"/>
          <w:sz w:val="20"/>
          <w:szCs w:val="20"/>
        </w:rPr>
        <w:t xml:space="preserve"> </w:t>
      </w:r>
      <w:r w:rsidRPr="00B26A48">
        <w:rPr>
          <w:rFonts w:ascii="Tahoma" w:hAnsi="Tahoma" w:cs="Tahoma"/>
          <w:b/>
          <w:bCs/>
          <w:sz w:val="20"/>
          <w:szCs w:val="20"/>
        </w:rPr>
        <w:t>ANNEXE II : PROCEDURES PARTICULIERES D’EXECUTION DE CERTAINS REGLEMENTS</w:t>
      </w:r>
    </w:p>
  </w:footnote>
  <w:footnote w:id="20">
    <w:p w:rsidR="002C5FA3" w:rsidRPr="00B26A48" w:rsidRDefault="002C5FA3" w:rsidP="00B26A48">
      <w:pPr>
        <w:autoSpaceDE w:val="0"/>
        <w:autoSpaceDN w:val="0"/>
        <w:adjustRightInd w:val="0"/>
        <w:spacing w:after="0" w:line="360" w:lineRule="auto"/>
        <w:jc w:val="both"/>
      </w:pPr>
      <w:r w:rsidRPr="00B26A48">
        <w:rPr>
          <w:rStyle w:val="Appelnotedebasdep"/>
          <w:rFonts w:ascii="Tahoma" w:hAnsi="Tahoma" w:cs="Tahoma"/>
          <w:sz w:val="20"/>
          <w:szCs w:val="20"/>
        </w:rPr>
        <w:footnoteRef/>
      </w:r>
      <w:r w:rsidRPr="00B26A48">
        <w:rPr>
          <w:rFonts w:ascii="Tahoma" w:hAnsi="Tahoma" w:cs="Tahoma"/>
          <w:sz w:val="20"/>
          <w:szCs w:val="20"/>
        </w:rPr>
        <w:t xml:space="preserve"> Article 9 de l’instruction 08/07/REF du 13 juillet 2011</w:t>
      </w:r>
      <w:r w:rsidRPr="00B26A48">
        <w:rPr>
          <w:rStyle w:val="Appelnotedebasdep"/>
          <w:rFonts w:ascii="Tahoma" w:hAnsi="Tahoma" w:cs="Tahoma"/>
          <w:sz w:val="20"/>
          <w:szCs w:val="20"/>
        </w:rPr>
        <w:footnoteRef/>
      </w:r>
      <w:r w:rsidRPr="00B26A48">
        <w:rPr>
          <w:rFonts w:ascii="Tahoma" w:hAnsi="Tahoma" w:cs="Tahoma"/>
          <w:sz w:val="20"/>
          <w:szCs w:val="20"/>
        </w:rPr>
        <w:t xml:space="preserve"> relative aux conditions d’ouverture et aux modalités de fonctionnement des </w:t>
      </w:r>
      <w:r w:rsidRPr="00B26A48">
        <w:rPr>
          <w:rFonts w:ascii="Tahoma" w:hAnsi="Tahoma" w:cs="Tahoma"/>
          <w:bCs/>
          <w:sz w:val="20"/>
          <w:szCs w:val="20"/>
        </w:rPr>
        <w:t xml:space="preserve"> comptes étrangers  de non-résidents , des comptes intérieurs  en devises de résidents et des comptes de résidents  a l’étranger</w:t>
      </w:r>
      <w:r w:rsidRPr="00B26A48">
        <w:rPr>
          <w:rFonts w:ascii="ITCAvantGardeStd-Bold" w:hAnsi="ITCAvantGardeStd-Bold" w:cs="ITCAvantGardeStd-Bold"/>
          <w:bCs/>
        </w:rPr>
        <w:t>.</w:t>
      </w:r>
    </w:p>
  </w:footnote>
  <w:footnote w:id="21">
    <w:p w:rsidR="002C5FA3" w:rsidRPr="00804BA6" w:rsidRDefault="002C5FA3" w:rsidP="00804BA6">
      <w:pPr>
        <w:pStyle w:val="Notedebasdepage"/>
        <w:spacing w:line="360" w:lineRule="auto"/>
        <w:jc w:val="both"/>
        <w:rPr>
          <w:rFonts w:ascii="Tahoma" w:hAnsi="Tahoma" w:cs="Tahoma"/>
        </w:rPr>
      </w:pPr>
      <w:r>
        <w:rPr>
          <w:rStyle w:val="Appelnotedebasdep"/>
        </w:rPr>
        <w:footnoteRef/>
      </w:r>
      <w:r>
        <w:t xml:space="preserve"> </w:t>
      </w:r>
      <w:r w:rsidRPr="00804BA6">
        <w:rPr>
          <w:rFonts w:ascii="Tahoma" w:eastAsia="Times New Roman" w:hAnsi="Tahoma" w:cs="Tahoma"/>
          <w:color w:val="000000"/>
          <w:lang w:eastAsia="fr-FR"/>
        </w:rPr>
        <w:t>article 11  de l’instruction n°08 mentionnée plus haut.</w:t>
      </w:r>
    </w:p>
  </w:footnote>
  <w:footnote w:id="22">
    <w:p w:rsidR="002C5FA3" w:rsidRDefault="002C5FA3" w:rsidP="00804BA6">
      <w:pPr>
        <w:pStyle w:val="Notedebasdepage"/>
        <w:spacing w:line="360" w:lineRule="auto"/>
        <w:jc w:val="both"/>
      </w:pPr>
      <w:r w:rsidRPr="00804BA6">
        <w:rPr>
          <w:rStyle w:val="Appelnotedebasdep"/>
          <w:rFonts w:ascii="Tahoma" w:hAnsi="Tahoma" w:cs="Tahoma"/>
        </w:rPr>
        <w:footnoteRef/>
      </w:r>
      <w:r w:rsidRPr="00804BA6">
        <w:rPr>
          <w:rFonts w:ascii="Tahoma" w:hAnsi="Tahoma" w:cs="Tahoma"/>
        </w:rPr>
        <w:t xml:space="preserve"> Le change à terme est une opération financière. Elle consiste à échanger deux devises non pas à un instant T mais à une date ultérieure. ( en anglais :outright forward) (cf Infonet.Fr, lexique de l’entr</w:t>
      </w:r>
      <w:r>
        <w:rPr>
          <w:rFonts w:ascii="Tahoma" w:hAnsi="Tahoma" w:cs="Tahoma"/>
        </w:rPr>
        <w:t>e</w:t>
      </w:r>
      <w:r w:rsidRPr="00804BA6">
        <w:rPr>
          <w:rFonts w:ascii="Tahoma" w:hAnsi="Tahoma" w:cs="Tahoma"/>
        </w:rPr>
        <w:t>prise).</w:t>
      </w:r>
    </w:p>
  </w:footnote>
  <w:footnote w:id="23">
    <w:p w:rsidR="002C5FA3" w:rsidRPr="00804BA6" w:rsidRDefault="002C5FA3" w:rsidP="00804BA6">
      <w:pPr>
        <w:autoSpaceDE w:val="0"/>
        <w:autoSpaceDN w:val="0"/>
        <w:adjustRightInd w:val="0"/>
        <w:spacing w:after="0" w:line="360" w:lineRule="auto"/>
        <w:rPr>
          <w:rFonts w:ascii="Tahoma" w:hAnsi="Tahoma" w:cs="Tahoma"/>
        </w:rPr>
      </w:pPr>
      <w:r w:rsidRPr="00804BA6">
        <w:rPr>
          <w:rStyle w:val="Appelnotedebasdep"/>
          <w:rFonts w:ascii="Tahoma" w:hAnsi="Tahoma" w:cs="Tahoma"/>
        </w:rPr>
        <w:footnoteRef/>
      </w:r>
      <w:r w:rsidRPr="00804BA6">
        <w:rPr>
          <w:rFonts w:ascii="Tahoma" w:hAnsi="Tahoma" w:cs="Tahoma"/>
        </w:rPr>
        <w:t xml:space="preserve"> Intermédiaire agrée : tout établissement de crédit installé sur le territoire d’un Etat membre de l’UEMOA et ayant reçu la qualité d’intermédiaire agréé, par agrément du Ministre chargé des Finances ( article premier du Règlement 09/2010/CM/UEMOA).</w:t>
      </w:r>
    </w:p>
    <w:p w:rsidR="002C5FA3" w:rsidRPr="00804BA6" w:rsidRDefault="002C5FA3" w:rsidP="00804BA6">
      <w:pPr>
        <w:autoSpaceDE w:val="0"/>
        <w:autoSpaceDN w:val="0"/>
        <w:adjustRightInd w:val="0"/>
        <w:spacing w:after="0" w:line="360" w:lineRule="auto"/>
        <w:rPr>
          <w:rFonts w:ascii="Tahoma" w:hAnsi="Tahoma" w:cs="Tahoma"/>
        </w:rPr>
      </w:pPr>
      <w:r w:rsidRPr="00804BA6">
        <w:rPr>
          <w:rFonts w:ascii="Tahoma" w:hAnsi="Tahoma" w:cs="Tahoma"/>
        </w:rPr>
        <w:t>Dans chaque Etat membre de l’UEMOA,un arrêté du Ministre chargé des Finances  confère la qualité d’intermédiaire agrée et en fixe la liste.</w:t>
      </w:r>
    </w:p>
  </w:footnote>
  <w:footnote w:id="24">
    <w:p w:rsidR="002C5FA3" w:rsidRPr="00861990" w:rsidRDefault="002C5FA3" w:rsidP="00861990">
      <w:pPr>
        <w:autoSpaceDE w:val="0"/>
        <w:autoSpaceDN w:val="0"/>
        <w:adjustRightInd w:val="0"/>
        <w:spacing w:after="0" w:line="360" w:lineRule="auto"/>
        <w:jc w:val="both"/>
        <w:rPr>
          <w:rFonts w:ascii="Tahoma" w:hAnsi="Tahoma" w:cs="Tahoma"/>
          <w:sz w:val="20"/>
          <w:szCs w:val="20"/>
        </w:rPr>
      </w:pPr>
      <w:r w:rsidRPr="00804BA6">
        <w:rPr>
          <w:rStyle w:val="Appelnotedebasdep"/>
          <w:rFonts w:ascii="Tahoma" w:hAnsi="Tahoma" w:cs="Tahoma"/>
        </w:rPr>
        <w:footnoteRef/>
      </w:r>
      <w:r w:rsidRPr="00804BA6">
        <w:rPr>
          <w:rFonts w:ascii="Tahoma" w:hAnsi="Tahoma" w:cs="Tahoma"/>
        </w:rPr>
        <w:t xml:space="preserve"> </w:t>
      </w:r>
      <w:r w:rsidRPr="00861990">
        <w:rPr>
          <w:rFonts w:ascii="Tahoma" w:hAnsi="Tahoma" w:cs="Tahoma"/>
          <w:sz w:val="20"/>
          <w:szCs w:val="20"/>
        </w:rPr>
        <w:t>l’Annexe VIII-1 du  Règlement 09/2010/CM/UEMOA,</w:t>
      </w:r>
    </w:p>
  </w:footnote>
  <w:footnote w:id="25">
    <w:p w:rsidR="002C5FA3" w:rsidRPr="00861990" w:rsidRDefault="002C5FA3" w:rsidP="00861990">
      <w:pPr>
        <w:autoSpaceDE w:val="0"/>
        <w:autoSpaceDN w:val="0"/>
        <w:adjustRightInd w:val="0"/>
        <w:spacing w:after="0" w:line="360" w:lineRule="auto"/>
        <w:jc w:val="both"/>
        <w:rPr>
          <w:rFonts w:ascii="Tahoma" w:hAnsi="Tahoma" w:cs="Tahoma"/>
          <w:sz w:val="20"/>
          <w:szCs w:val="20"/>
        </w:rPr>
      </w:pPr>
      <w:r w:rsidRPr="00861990">
        <w:rPr>
          <w:rStyle w:val="Appelnotedebasdep"/>
          <w:rFonts w:ascii="Tahoma" w:hAnsi="Tahoma" w:cs="Tahoma"/>
          <w:sz w:val="20"/>
          <w:szCs w:val="20"/>
        </w:rPr>
        <w:footnoteRef/>
      </w:r>
      <w:r w:rsidRPr="00861990">
        <w:rPr>
          <w:rFonts w:ascii="Tahoma" w:hAnsi="Tahoma" w:cs="Tahoma"/>
          <w:sz w:val="20"/>
          <w:szCs w:val="20"/>
        </w:rPr>
        <w:t xml:space="preserve"> La livraison des devises est effectuée dans les conditions ci-après :1.</w:t>
      </w:r>
      <w:r w:rsidRPr="00861990">
        <w:rPr>
          <w:rFonts w:ascii="Tahoma" w:hAnsi="Tahoma" w:cs="Tahoma"/>
          <w:sz w:val="20"/>
          <w:szCs w:val="20"/>
        </w:rPr>
        <w:tab/>
        <w:t>soit les marchandises ou services ont été effectivement importés : dans ce cas, la livraison</w:t>
      </w:r>
    </w:p>
    <w:p w:rsidR="002C5FA3" w:rsidRPr="00861990" w:rsidRDefault="002C5FA3" w:rsidP="00861990">
      <w:pPr>
        <w:autoSpaceDE w:val="0"/>
        <w:autoSpaceDN w:val="0"/>
        <w:adjustRightInd w:val="0"/>
        <w:spacing w:after="0" w:line="360" w:lineRule="auto"/>
        <w:jc w:val="both"/>
        <w:rPr>
          <w:rFonts w:ascii="Tahoma" w:hAnsi="Tahoma" w:cs="Tahoma"/>
          <w:sz w:val="20"/>
          <w:szCs w:val="20"/>
        </w:rPr>
      </w:pPr>
      <w:r w:rsidRPr="00861990">
        <w:rPr>
          <w:rFonts w:ascii="Tahoma" w:hAnsi="Tahoma" w:cs="Tahoma"/>
          <w:sz w:val="20"/>
          <w:szCs w:val="20"/>
        </w:rPr>
        <w:t>des devises ne peut intervenir qu’à la date d’exigibilité du paiement prévue par le contrat commercial ;</w:t>
      </w:r>
    </w:p>
    <w:p w:rsidR="002C5FA3" w:rsidRPr="00861990" w:rsidRDefault="002C5FA3" w:rsidP="00861990">
      <w:pPr>
        <w:autoSpaceDE w:val="0"/>
        <w:autoSpaceDN w:val="0"/>
        <w:adjustRightInd w:val="0"/>
        <w:spacing w:after="0" w:line="360" w:lineRule="auto"/>
        <w:jc w:val="both"/>
        <w:rPr>
          <w:rFonts w:ascii="Tahoma" w:hAnsi="Tahoma" w:cs="Tahoma"/>
          <w:sz w:val="20"/>
          <w:szCs w:val="20"/>
        </w:rPr>
      </w:pPr>
      <w:r w:rsidRPr="00861990">
        <w:rPr>
          <w:rFonts w:ascii="Tahoma" w:hAnsi="Tahoma" w:cs="Tahoma"/>
          <w:sz w:val="20"/>
          <w:szCs w:val="20"/>
        </w:rPr>
        <w:t>2.</w:t>
      </w:r>
      <w:r w:rsidRPr="00861990">
        <w:rPr>
          <w:rFonts w:ascii="Tahoma" w:hAnsi="Tahoma" w:cs="Tahoma"/>
          <w:sz w:val="20"/>
          <w:szCs w:val="20"/>
        </w:rPr>
        <w:tab/>
        <w:t>soit les marchandises ou services n’ont pas été effectivement importés. Dans ce cas : a.</w:t>
      </w:r>
      <w:r w:rsidRPr="00861990">
        <w:rPr>
          <w:rFonts w:ascii="Tahoma" w:hAnsi="Tahoma" w:cs="Tahoma"/>
          <w:sz w:val="20"/>
          <w:szCs w:val="20"/>
        </w:rPr>
        <w:tab/>
        <w:t>si les importations ont donné lieu à l’ouverture d’un crédit  documentaire, la livraison des devises ne peut intervenir que huit (8) jours au plus avant la date prévue pour l’expédition des marchandises à destination directe et exclusive du territoire douanier ;</w:t>
      </w:r>
    </w:p>
    <w:p w:rsidR="002C5FA3" w:rsidRPr="00861990" w:rsidRDefault="002C5FA3" w:rsidP="00861990">
      <w:pPr>
        <w:autoSpaceDE w:val="0"/>
        <w:autoSpaceDN w:val="0"/>
        <w:adjustRightInd w:val="0"/>
        <w:spacing w:after="0" w:line="360" w:lineRule="auto"/>
        <w:jc w:val="both"/>
        <w:rPr>
          <w:rFonts w:ascii="Tahoma" w:hAnsi="Tahoma" w:cs="Tahoma"/>
          <w:sz w:val="20"/>
          <w:szCs w:val="20"/>
        </w:rPr>
      </w:pPr>
      <w:r w:rsidRPr="00861990">
        <w:rPr>
          <w:rFonts w:ascii="Tahoma" w:hAnsi="Tahoma" w:cs="Tahoma"/>
          <w:sz w:val="20"/>
          <w:szCs w:val="20"/>
        </w:rPr>
        <w:t>b.</w:t>
      </w:r>
      <w:r w:rsidRPr="00861990">
        <w:rPr>
          <w:rFonts w:ascii="Tahoma" w:hAnsi="Tahoma" w:cs="Tahoma"/>
          <w:sz w:val="20"/>
          <w:szCs w:val="20"/>
        </w:rPr>
        <w:tab/>
        <w:t>si les importations n’ont pas donné lieu à l’ouverture d’un crédit documentaire, la livraison peut intervenir sur présentation, à la banque domiciliataire, du connaissement maritime de mise à bord, lorsque l’importateur peut justifier que le paiement est exigible sur remise de ce document.</w:t>
      </w:r>
    </w:p>
  </w:footnote>
  <w:footnote w:id="26">
    <w:p w:rsidR="002C5FA3" w:rsidRPr="00861990" w:rsidRDefault="002C5FA3" w:rsidP="00861990">
      <w:pPr>
        <w:autoSpaceDE w:val="0"/>
        <w:autoSpaceDN w:val="0"/>
        <w:adjustRightInd w:val="0"/>
        <w:spacing w:after="0" w:line="360" w:lineRule="auto"/>
        <w:jc w:val="both"/>
        <w:rPr>
          <w:rFonts w:ascii="Tahoma" w:hAnsi="Tahoma" w:cs="Tahoma"/>
          <w:b/>
          <w:bCs/>
          <w:sz w:val="20"/>
          <w:szCs w:val="20"/>
        </w:rPr>
      </w:pPr>
      <w:r w:rsidRPr="00861990">
        <w:rPr>
          <w:rStyle w:val="Appelnotedebasdep"/>
          <w:rFonts w:ascii="Tahoma" w:hAnsi="Tahoma" w:cs="Tahoma"/>
          <w:sz w:val="20"/>
          <w:szCs w:val="20"/>
        </w:rPr>
        <w:footnoteRef/>
      </w:r>
      <w:r w:rsidRPr="00861990">
        <w:rPr>
          <w:rFonts w:ascii="Tahoma" w:hAnsi="Tahoma" w:cs="Tahoma"/>
          <w:sz w:val="20"/>
          <w:szCs w:val="20"/>
        </w:rPr>
        <w:t xml:space="preserve"> </w:t>
      </w:r>
      <w:r w:rsidRPr="00861990">
        <w:rPr>
          <w:rFonts w:ascii="Tahoma" w:hAnsi="Tahoma" w:cs="Tahoma"/>
          <w:b/>
          <w:bCs/>
          <w:sz w:val="20"/>
          <w:szCs w:val="20"/>
        </w:rPr>
        <w:t xml:space="preserve">Article 3 : </w:t>
      </w:r>
      <w:r w:rsidRPr="00861990">
        <w:rPr>
          <w:rFonts w:ascii="Tahoma" w:hAnsi="Tahoma" w:cs="Tahoma"/>
          <w:sz w:val="20"/>
          <w:szCs w:val="20"/>
        </w:rPr>
        <w:t>Toute importation de marchandises, en provenance des pays autres que ceux de la Zone franc, doit faire l’objet d’une domiciliation auprès d’une banque intermédiaire agréée, à l’exception :1.</w:t>
      </w:r>
      <w:r w:rsidRPr="00861990">
        <w:rPr>
          <w:rFonts w:ascii="Tahoma" w:hAnsi="Tahoma" w:cs="Tahoma"/>
          <w:sz w:val="20"/>
          <w:szCs w:val="20"/>
        </w:rPr>
        <w:tab/>
        <w:t>des importations d’une valeur inférieure ou égale à dix millions (10.000.000) de francs CFA ; 2.</w:t>
      </w:r>
      <w:r w:rsidRPr="00861990">
        <w:rPr>
          <w:rFonts w:ascii="Tahoma" w:hAnsi="Tahoma" w:cs="Tahoma"/>
          <w:sz w:val="20"/>
          <w:szCs w:val="20"/>
        </w:rPr>
        <w:tab/>
        <w:t>des importations sans paiement, qui sont cependant soumises au visa préalable de la Direction chargée des Finances Extérieures ;3.</w:t>
      </w:r>
      <w:r w:rsidRPr="00861990">
        <w:rPr>
          <w:rFonts w:ascii="Tahoma" w:hAnsi="Tahoma" w:cs="Tahoma"/>
          <w:sz w:val="20"/>
          <w:szCs w:val="20"/>
        </w:rPr>
        <w:tab/>
        <w:t>des importations de nature particulière énumérées à l’Annexe V du présent Règlement.(</w:t>
      </w:r>
      <w:r w:rsidRPr="00861990">
        <w:rPr>
          <w:rFonts w:ascii="Tahoma" w:hAnsi="Tahoma" w:cs="Tahoma"/>
          <w:bCs/>
          <w:sz w:val="20"/>
          <w:szCs w:val="20"/>
        </w:rPr>
        <w:t xml:space="preserve">  cf. de l’Annexe II relative aux  procédures  particulières d’exécution  de certains règlements  du Règlement 09/2010/CM/UEOA °</w:t>
      </w:r>
    </w:p>
    <w:p w:rsidR="002C5FA3" w:rsidRDefault="002C5FA3" w:rsidP="004649F8">
      <w:pPr>
        <w:pStyle w:val="Notedebasdepage"/>
      </w:pPr>
    </w:p>
  </w:footnote>
  <w:footnote w:id="27">
    <w:p w:rsidR="002C5FA3" w:rsidRDefault="002C5FA3" w:rsidP="00DA2AE2">
      <w:pPr>
        <w:pStyle w:val="Notedebasdepage"/>
      </w:pPr>
      <w:r>
        <w:rPr>
          <w:rStyle w:val="Appelnotedebasdep"/>
        </w:rPr>
        <w:footnoteRef/>
      </w:r>
      <w:r>
        <w:t xml:space="preserve"> </w:t>
      </w:r>
    </w:p>
  </w:footnote>
  <w:footnote w:id="28">
    <w:p w:rsidR="002C5FA3" w:rsidRPr="00C81731" w:rsidRDefault="002C5FA3" w:rsidP="00DA2AE2">
      <w:pPr>
        <w:pStyle w:val="Default"/>
        <w:spacing w:line="360" w:lineRule="auto"/>
        <w:jc w:val="both"/>
        <w:rPr>
          <w:rFonts w:ascii="Tahoma" w:hAnsi="Tahoma" w:cs="Tahoma"/>
          <w:sz w:val="18"/>
          <w:szCs w:val="18"/>
        </w:rPr>
      </w:pPr>
      <w:r>
        <w:rPr>
          <w:rStyle w:val="Appelnotedebasdep"/>
        </w:rPr>
        <w:footnoteRef/>
      </w:r>
      <w:r>
        <w:t xml:space="preserve"> </w:t>
      </w:r>
      <w:r w:rsidRPr="00C81731">
        <w:rPr>
          <w:rFonts w:ascii="Tahoma" w:hAnsi="Tahoma" w:cs="Tahoma"/>
          <w:sz w:val="18"/>
          <w:szCs w:val="18"/>
        </w:rPr>
        <w:t xml:space="preserve">Article 53 code des douanes « 1. Pour la recherche des marchandises détenues frauduleusement dans le rayon des douanes ainsi que la recherche en tous lieux des marchandises soumises aux dispositions de l’article 280 du présent code, les agents des douanes désignés à l’alinéa 5 du présent article peuvent procéder à des visites en tous lieux, même privés, où les marchandises et documents se rapportant à ces délits sont susceptibles d'être détenus et procéder à leur saisie.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Ils sont accompagnés d'un officier de police judiciaire ou à défaut, du Chef de la circonscription administrative, d'un officier municipal, du Président de communauté rural, du Chef de village ou du délégué de quartier.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Toutefois, en l’absence des autorités désignées ci-dessus, les agents des douanes habilités à cet effet, ne peuvent procéder à la visite qu’avec l’assentiment exprès de l’occupant des lieux ou, à défaut dudit assentiment, qu’avec l’autorisation expresse du Directeur général des Douanes.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Les agents des douanes habilités ne peuvent procéder à ces visites qu'accompagnés d'au moins un agent des douanes assermenté, et en agissant conformément aux dispositions des articles 48 et 49 du code de procédure pénale.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2. Ces visites ne peuvent être commencées avant 04 heures ou après 21 heures, hormis :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a) le cas de l’assentiment exprès de l’occupant des lieux ;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b) le cas de visite effectuée après poursuite à vue ;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c) le cas de visite commencée pendant la journée qui peut être poursuivie la nuit.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La visite domiciliaire est effectuée en présence de l'occupant des lieux ou de son représentant. En cas d'impossibilité, l’autorité qui accompagne les agents requiert deux témoins choisis en dehors des personnes relevant de son autorité ou de celle de l'administration des douanes.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Les agents des douanes mentionnés à l’alinéa 5 du présent article, l'occupant des lieux ou son représentant et l’autorité qui accompagne les agents sont les seules personnes habilitées à prendre connaissance des pièces et documents, avant leur saisie.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Le procès-verbal, auquel est annexé un inventaire des marchandises et documents saisis, est signé par les agents des douanes et par les personnes mentionnées à l’alinéa 1 ci-dessus. En cas de refus de signer, mention en est faite au procès-verbal.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Si l'inventaire sur place présente des difficultés, les pièces et documents saisis sont placés sous scellés.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L'occupant des lieux ou son représentant est avisé qu'il peut assister à l'ouverture des scellés qui a lieu en présence de l'officier de police judiciaire ; l'inventaire est alors établi.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Une copie du procès-verbal et de l'inventaire est remise à l'occupant des lieux ou à son représentant. </w:t>
      </w:r>
    </w:p>
    <w:p w:rsidR="002C5FA3" w:rsidRPr="00C81731" w:rsidRDefault="002C5FA3" w:rsidP="00DA2AE2">
      <w:pPr>
        <w:pStyle w:val="Default"/>
        <w:spacing w:line="360" w:lineRule="auto"/>
        <w:jc w:val="both"/>
        <w:rPr>
          <w:rFonts w:ascii="Tahoma" w:hAnsi="Tahoma" w:cs="Tahoma"/>
          <w:sz w:val="18"/>
          <w:szCs w:val="18"/>
        </w:rPr>
      </w:pPr>
      <w:r w:rsidRPr="00C81731">
        <w:rPr>
          <w:rFonts w:ascii="Tahoma" w:hAnsi="Tahoma" w:cs="Tahoma"/>
          <w:sz w:val="18"/>
          <w:szCs w:val="18"/>
        </w:rPr>
        <w:t xml:space="preserve">3. Les agents des douanes désignés à l’alinéa 5 ci-après peuvent intervenir sans l'assistance des autorités visées à l’alinéa 1 du présent article : </w:t>
      </w:r>
    </w:p>
    <w:p w:rsidR="002C5FA3" w:rsidRPr="00C81731" w:rsidRDefault="002C5FA3" w:rsidP="00DA2AE2">
      <w:pPr>
        <w:pStyle w:val="Notedebasdepage"/>
        <w:spacing w:line="360" w:lineRule="auto"/>
        <w:jc w:val="both"/>
        <w:rPr>
          <w:rFonts w:ascii="Tahoma" w:hAnsi="Tahoma" w:cs="Tahoma"/>
          <w:sz w:val="18"/>
          <w:szCs w:val="18"/>
        </w:rPr>
      </w:pPr>
      <w:r w:rsidRPr="00C81731">
        <w:rPr>
          <w:rFonts w:ascii="Tahoma" w:hAnsi="Tahoma" w:cs="Tahoma"/>
          <w:sz w:val="18"/>
          <w:szCs w:val="18"/>
        </w:rPr>
        <w:t>a) si l'occupant des lieux y consent spontanément ;</w:t>
      </w:r>
    </w:p>
    <w:p w:rsidR="002C5FA3" w:rsidRPr="002C5FA3" w:rsidRDefault="002C5FA3" w:rsidP="00DA2AE2">
      <w:pPr>
        <w:pStyle w:val="Default"/>
        <w:spacing w:line="360" w:lineRule="auto"/>
        <w:jc w:val="both"/>
        <w:rPr>
          <w:rFonts w:ascii="Tahoma" w:hAnsi="Tahoma" w:cs="Tahoma"/>
          <w:sz w:val="20"/>
          <w:szCs w:val="20"/>
        </w:rPr>
      </w:pPr>
      <w:r w:rsidRPr="00C81731">
        <w:rPr>
          <w:rFonts w:ascii="Tahoma" w:hAnsi="Tahoma" w:cs="Tahoma"/>
          <w:sz w:val="18"/>
          <w:szCs w:val="18"/>
        </w:rPr>
        <w:t>b</w:t>
      </w:r>
      <w:r w:rsidRPr="002C5FA3">
        <w:rPr>
          <w:rFonts w:ascii="Tahoma" w:hAnsi="Tahoma" w:cs="Tahoma"/>
          <w:sz w:val="20"/>
          <w:szCs w:val="20"/>
        </w:rPr>
        <w:t xml:space="preserve">) pour la recherche des marchandises qui, poursuivies à vue sans interruption dans les conditions prévues par l'article 310 du présent code, sont introduites dans une maison ou autre bâtiment, même sis en dehors du rayon. </w:t>
      </w:r>
    </w:p>
    <w:p w:rsidR="002C5FA3" w:rsidRPr="002C5FA3" w:rsidRDefault="002C5FA3" w:rsidP="00DA2AE2">
      <w:pPr>
        <w:pStyle w:val="Default"/>
        <w:spacing w:line="360" w:lineRule="auto"/>
        <w:jc w:val="both"/>
        <w:rPr>
          <w:rFonts w:ascii="Tahoma" w:hAnsi="Tahoma" w:cs="Tahoma"/>
          <w:sz w:val="20"/>
          <w:szCs w:val="20"/>
        </w:rPr>
      </w:pPr>
      <w:r w:rsidRPr="002C5FA3">
        <w:rPr>
          <w:rFonts w:ascii="Tahoma" w:hAnsi="Tahoma" w:cs="Tahoma"/>
          <w:sz w:val="20"/>
          <w:szCs w:val="20"/>
        </w:rPr>
        <w:t xml:space="preserve">4. S'il y a refus d'ouverture des portes, les agents des douanes ne peuvent ouvrir celles-ci qu’en présence de l'une des autorités mentionnées à l’alinéa 1 du présent article. </w:t>
      </w:r>
    </w:p>
    <w:p w:rsidR="002C5FA3" w:rsidRPr="002C5FA3" w:rsidRDefault="002C5FA3" w:rsidP="00DA2AE2">
      <w:pPr>
        <w:pStyle w:val="Notedebasdepage"/>
        <w:spacing w:line="360" w:lineRule="auto"/>
        <w:jc w:val="both"/>
        <w:rPr>
          <w:rFonts w:ascii="Tahoma" w:hAnsi="Tahoma" w:cs="Tahoma"/>
        </w:rPr>
      </w:pPr>
      <w:r w:rsidRPr="002C5FA3">
        <w:rPr>
          <w:rFonts w:ascii="Tahoma" w:hAnsi="Tahoma" w:cs="Tahoma"/>
        </w:rPr>
        <w:t>5. Les agents des douanes habilités à procéder aux visites domiciliaires dans les conditions prévues au présent article sont : les inspecteurs, les contrôleurs, les chefs de bureaux, de brigades ou de postes, y compris les agents de constatation désignés par arrêté conjoint du Ministre chargé des finances et du Ministre chargé de la justice.</w:t>
      </w:r>
    </w:p>
    <w:p w:rsidR="002C5FA3" w:rsidRDefault="002C5FA3" w:rsidP="00DA2AE2">
      <w:pPr>
        <w:pStyle w:val="Notedebasdepage"/>
      </w:pPr>
    </w:p>
  </w:footnote>
  <w:footnote w:id="29">
    <w:p w:rsidR="002C5FA3" w:rsidRDefault="002C5FA3" w:rsidP="00DA2AE2">
      <w:pPr>
        <w:pStyle w:val="Notedebasdepage"/>
      </w:pPr>
      <w:r>
        <w:rPr>
          <w:rStyle w:val="Appelnotedebasdep"/>
        </w:rPr>
        <w:footnoteRef/>
      </w:r>
      <w:r>
        <w:t xml:space="preserve"> Voir en annexe.</w:t>
      </w:r>
    </w:p>
  </w:footnote>
  <w:footnote w:id="30">
    <w:p w:rsidR="002C5FA3" w:rsidRDefault="002C5FA3" w:rsidP="00DA2AE2">
      <w:pPr>
        <w:pStyle w:val="Notedebasdepage"/>
      </w:pPr>
      <w:r>
        <w:rPr>
          <w:rStyle w:val="Appelnotedebasdep"/>
        </w:rPr>
        <w:footnoteRef/>
      </w:r>
      <w:r>
        <w:t xml:space="preserve"> Ndongo FALL, le droit pénal africain, édition 2003, page 459. </w:t>
      </w:r>
    </w:p>
  </w:footnote>
  <w:footnote w:id="31">
    <w:p w:rsidR="002C5FA3" w:rsidRPr="00D035B0" w:rsidRDefault="002C5FA3" w:rsidP="00DA2AE2">
      <w:pPr>
        <w:pStyle w:val="Default"/>
        <w:spacing w:line="360" w:lineRule="auto"/>
        <w:jc w:val="both"/>
        <w:rPr>
          <w:rFonts w:ascii="Tahoma" w:hAnsi="Tahoma" w:cs="Tahoma"/>
          <w:sz w:val="20"/>
          <w:szCs w:val="20"/>
        </w:rPr>
      </w:pPr>
      <w:r w:rsidRPr="00633BC7">
        <w:rPr>
          <w:rStyle w:val="Appelnotedebasdep"/>
          <w:rFonts w:ascii="Tahoma" w:hAnsi="Tahoma" w:cs="Tahoma"/>
          <w:sz w:val="16"/>
          <w:szCs w:val="16"/>
        </w:rPr>
        <w:footnoteRef/>
      </w:r>
      <w:r w:rsidRPr="00633BC7">
        <w:rPr>
          <w:rFonts w:ascii="Tahoma" w:hAnsi="Tahoma" w:cs="Tahoma"/>
          <w:sz w:val="16"/>
          <w:szCs w:val="16"/>
        </w:rPr>
        <w:t xml:space="preserve"> </w:t>
      </w:r>
      <w:r w:rsidRPr="00D035B0">
        <w:rPr>
          <w:rFonts w:ascii="Tahoma" w:hAnsi="Tahoma" w:cs="Tahoma"/>
          <w:b/>
          <w:bCs/>
          <w:sz w:val="20"/>
          <w:szCs w:val="20"/>
        </w:rPr>
        <w:t>Article 344 du code des douanes « </w:t>
      </w:r>
      <w:r w:rsidRPr="00D035B0">
        <w:rPr>
          <w:rFonts w:ascii="Tahoma" w:hAnsi="Tahoma" w:cs="Tahoma"/>
          <w:sz w:val="20"/>
          <w:szCs w:val="20"/>
        </w:rPr>
        <w:t xml:space="preserve">1. A l’encontre des personnes passibles d'une peine d'emprisonnement en vertu des articles 390, 391 et 392 du présent code et des dispositions légales relatives aux relations financières avec l'étranger, le procureur de la République en cas de flagrant délit, le juge d'instruction lorsqu'une information est ouverte, délivrent obligatoirement : </w:t>
      </w:r>
    </w:p>
    <w:p w:rsidR="002C5FA3" w:rsidRPr="00D035B0" w:rsidRDefault="002C5FA3" w:rsidP="00DA2AE2">
      <w:pPr>
        <w:pStyle w:val="Default"/>
        <w:spacing w:line="360" w:lineRule="auto"/>
        <w:jc w:val="both"/>
        <w:rPr>
          <w:rFonts w:ascii="Tahoma" w:hAnsi="Tahoma" w:cs="Tahoma"/>
          <w:sz w:val="20"/>
          <w:szCs w:val="20"/>
        </w:rPr>
      </w:pPr>
      <w:r w:rsidRPr="00D035B0">
        <w:rPr>
          <w:rFonts w:ascii="Tahoma" w:hAnsi="Tahoma" w:cs="Tahoma"/>
          <w:sz w:val="20"/>
          <w:szCs w:val="20"/>
        </w:rPr>
        <w:t xml:space="preserve">a) mandat d'arrêt contre le ou les inculpés en fuite ; </w:t>
      </w:r>
    </w:p>
    <w:p w:rsidR="002C5FA3" w:rsidRPr="00D035B0" w:rsidRDefault="002C5FA3" w:rsidP="00DA2AE2">
      <w:pPr>
        <w:pStyle w:val="Default"/>
        <w:spacing w:line="360" w:lineRule="auto"/>
        <w:jc w:val="both"/>
        <w:rPr>
          <w:rFonts w:ascii="Tahoma" w:hAnsi="Tahoma" w:cs="Tahoma"/>
          <w:sz w:val="20"/>
          <w:szCs w:val="20"/>
        </w:rPr>
      </w:pPr>
      <w:r w:rsidRPr="00D035B0">
        <w:rPr>
          <w:rFonts w:ascii="Tahoma" w:hAnsi="Tahoma" w:cs="Tahoma"/>
          <w:sz w:val="20"/>
          <w:szCs w:val="20"/>
        </w:rPr>
        <w:t xml:space="preserve">b) mandat de dépôt lorsque dans les conditions précitées, la valeur de l'objet de fraude est supérieure ou égale à 10. 000.000 de francs, sauf paiement de la totalité des droits et taxes. </w:t>
      </w:r>
    </w:p>
    <w:p w:rsidR="002C5FA3" w:rsidRPr="00D035B0" w:rsidRDefault="002C5FA3" w:rsidP="00DA2AE2">
      <w:pPr>
        <w:pStyle w:val="Default"/>
        <w:spacing w:line="360" w:lineRule="auto"/>
        <w:jc w:val="both"/>
        <w:rPr>
          <w:rFonts w:ascii="Tahoma" w:hAnsi="Tahoma" w:cs="Tahoma"/>
          <w:sz w:val="20"/>
          <w:szCs w:val="20"/>
        </w:rPr>
      </w:pPr>
      <w:r w:rsidRPr="00D035B0">
        <w:rPr>
          <w:rFonts w:ascii="Tahoma" w:hAnsi="Tahoma" w:cs="Tahoma"/>
          <w:sz w:val="20"/>
          <w:szCs w:val="20"/>
        </w:rPr>
        <w:t xml:space="preserve">La mainlevée du mandat de dépôt ne peut être ordonnée et la demande de mise en liberté provisoire est déclarée irrecevable si la valeur de l'objet de fraude est égale ou supérieure à 10.000.000 de francs. </w:t>
      </w:r>
    </w:p>
    <w:p w:rsidR="002C5FA3" w:rsidRPr="00D035B0" w:rsidRDefault="002C5FA3" w:rsidP="00DA2AE2">
      <w:pPr>
        <w:pStyle w:val="Default"/>
        <w:spacing w:line="360" w:lineRule="auto"/>
        <w:jc w:val="both"/>
        <w:rPr>
          <w:rFonts w:ascii="Tahoma" w:hAnsi="Tahoma" w:cs="Tahoma"/>
          <w:sz w:val="20"/>
          <w:szCs w:val="20"/>
        </w:rPr>
      </w:pPr>
      <w:r w:rsidRPr="00D035B0">
        <w:rPr>
          <w:rFonts w:ascii="Tahoma" w:hAnsi="Tahoma" w:cs="Tahoma"/>
          <w:sz w:val="20"/>
          <w:szCs w:val="20"/>
        </w:rPr>
        <w:t xml:space="preserve">La mainlevée du mandat de dépôt et la mise en liberté provisoire, en tout état de cause, sont subordonnées au paiement des droits et taxes dus s'il y a lieu, ainsi qu'au versement d'un cautionnement égal au montant des droits et taxes dus ou au montant de la valeur de l'objet de fraude lorsqu'il n'y a pas de droits compromis ou éludés. Il n'y a d'exception aux dispositions de l'alinéa précédent que si la fausseté du procès-verbal servant de base aux poursuites est établie ou si une transaction définitive a été réalisée. </w:t>
      </w:r>
    </w:p>
    <w:p w:rsidR="002C5FA3" w:rsidRPr="00D035B0" w:rsidRDefault="002C5FA3" w:rsidP="00DA2AE2">
      <w:pPr>
        <w:pStyle w:val="Default"/>
        <w:spacing w:line="360" w:lineRule="auto"/>
        <w:jc w:val="both"/>
        <w:rPr>
          <w:rFonts w:ascii="Tahoma" w:hAnsi="Tahoma" w:cs="Tahoma"/>
          <w:sz w:val="20"/>
          <w:szCs w:val="20"/>
        </w:rPr>
      </w:pPr>
      <w:r w:rsidRPr="00D035B0">
        <w:rPr>
          <w:rFonts w:ascii="Tahoma" w:hAnsi="Tahoma" w:cs="Tahoma"/>
          <w:sz w:val="20"/>
          <w:szCs w:val="20"/>
        </w:rPr>
        <w:t xml:space="preserve">2. Les dispositions relatives à la mise en liberté provisoire sont applicables même après la clôture de l'information jusqu'à l'intervention d'une décision définitive sur l'action publique, dès lors que la durée de la détention provisoire ne dépasse pas le maximum de la peine privative de liberté encourue. </w:t>
      </w:r>
    </w:p>
    <w:p w:rsidR="002C5FA3" w:rsidRPr="00D035B0" w:rsidRDefault="002C5FA3" w:rsidP="00DA2AE2">
      <w:pPr>
        <w:pStyle w:val="Default"/>
        <w:spacing w:line="360" w:lineRule="auto"/>
        <w:jc w:val="both"/>
        <w:rPr>
          <w:rFonts w:ascii="Tahoma" w:hAnsi="Tahoma" w:cs="Tahoma"/>
          <w:sz w:val="20"/>
          <w:szCs w:val="20"/>
        </w:rPr>
      </w:pPr>
      <w:r w:rsidRPr="00D035B0">
        <w:rPr>
          <w:rFonts w:ascii="Tahoma" w:hAnsi="Tahoma" w:cs="Tahoma"/>
          <w:sz w:val="20"/>
          <w:szCs w:val="20"/>
        </w:rPr>
        <w:t xml:space="preserve">3. A l'égard des personnes reconnues coupables des faits prévus à l’alinéa 1 du présent article, l'application des circonstances atténuantes et le bénéfice du sursis sont subordonnés au paiement avant jugement de la totalité des droits et taxes dus, s'il y a lieu, de la consignation du montant de la valeur de l'objet de fraude lorsqu'il n'y a pas de droits compromis ou éludés. </w:t>
      </w:r>
    </w:p>
    <w:p w:rsidR="002C5FA3" w:rsidRPr="00D035B0" w:rsidRDefault="002C5FA3" w:rsidP="00DA2AE2">
      <w:pPr>
        <w:pStyle w:val="Default"/>
        <w:spacing w:line="360" w:lineRule="auto"/>
        <w:jc w:val="both"/>
        <w:rPr>
          <w:rFonts w:ascii="Tahoma" w:hAnsi="Tahoma" w:cs="Tahoma"/>
          <w:sz w:val="20"/>
          <w:szCs w:val="20"/>
        </w:rPr>
      </w:pPr>
      <w:r w:rsidRPr="00D035B0">
        <w:rPr>
          <w:rFonts w:ascii="Tahoma" w:hAnsi="Tahoma" w:cs="Tahoma"/>
          <w:sz w:val="20"/>
          <w:szCs w:val="20"/>
        </w:rPr>
        <w:t xml:space="preserve">La demande ou proposition de libération conditionnelle n'est recevable qu'après paiement de la totalité des droits et taxes dus, s'il y a lieu, ou d’une consignation du montant de la valeur de l'objet de fraude, lorsqu'il n'y a pas de droits compromis ou éludés. </w:t>
      </w:r>
    </w:p>
    <w:p w:rsidR="002C5FA3" w:rsidRPr="00D035B0" w:rsidRDefault="002C5FA3" w:rsidP="00DA2AE2">
      <w:pPr>
        <w:pStyle w:val="Default"/>
        <w:spacing w:line="360" w:lineRule="auto"/>
        <w:jc w:val="both"/>
        <w:rPr>
          <w:rFonts w:ascii="Tahoma" w:hAnsi="Tahoma" w:cs="Tahoma"/>
          <w:sz w:val="20"/>
          <w:szCs w:val="20"/>
        </w:rPr>
      </w:pPr>
      <w:r w:rsidRPr="00D035B0">
        <w:rPr>
          <w:rFonts w:ascii="Tahoma" w:hAnsi="Tahoma" w:cs="Tahoma"/>
          <w:sz w:val="20"/>
          <w:szCs w:val="20"/>
        </w:rPr>
        <w:t xml:space="preserve">Le juge d'instruction, le procureur de la République, le président du tribunal portent les dispositions du présent article à la connaissance de l'inculpé ou du prévenu. </w:t>
      </w:r>
    </w:p>
    <w:p w:rsidR="002C5FA3" w:rsidRPr="004B1AF8" w:rsidRDefault="002C5FA3" w:rsidP="00DA2AE2">
      <w:pPr>
        <w:pStyle w:val="Default"/>
        <w:spacing w:line="360" w:lineRule="auto"/>
        <w:jc w:val="both"/>
        <w:rPr>
          <w:sz w:val="23"/>
          <w:szCs w:val="23"/>
        </w:rPr>
      </w:pPr>
      <w:r w:rsidRPr="00D035B0">
        <w:rPr>
          <w:rFonts w:ascii="Tahoma" w:hAnsi="Tahoma" w:cs="Tahoma"/>
          <w:sz w:val="20"/>
          <w:szCs w:val="20"/>
        </w:rPr>
        <w:t>Les mesures prévues à l'article 130 alinéa 5 du code de procédure pénale, concernant l'assignation à résidence sont obligatoirement ordonnées par le juge d'instruction, la juridiction de jugement ou la chambre d'accusation dans tous les cas où un individu de nationalité étrangère inculpé ou prévenu aura été laissé ou mis en liberté provisoire ».</w:t>
      </w:r>
    </w:p>
  </w:footnote>
  <w:footnote w:id="32">
    <w:p w:rsidR="0016447D" w:rsidRDefault="0016447D" w:rsidP="0016447D">
      <w:pPr>
        <w:pStyle w:val="Notedebasdepage"/>
        <w:spacing w:line="360" w:lineRule="auto"/>
      </w:pPr>
      <w:r>
        <w:rPr>
          <w:rStyle w:val="Appelnotedebasdep"/>
        </w:rPr>
        <w:footnoteRef/>
      </w:r>
      <w:r>
        <w:t xml:space="preserve"> </w:t>
      </w:r>
      <w:r w:rsidRPr="0016447D">
        <w:rPr>
          <w:rFonts w:ascii="Tahoma" w:hAnsi="Tahoma" w:cs="Tahoma"/>
        </w:rPr>
        <w:t xml:space="preserve">Désignent la différence entre le montant des perceptions légalement </w:t>
      </w:r>
      <w:r>
        <w:rPr>
          <w:rFonts w:ascii="Tahoma" w:hAnsi="Tahoma" w:cs="Tahoma"/>
        </w:rPr>
        <w:t xml:space="preserve"> ex</w:t>
      </w:r>
      <w:r w:rsidRPr="0016447D">
        <w:rPr>
          <w:rFonts w:ascii="Tahoma" w:hAnsi="Tahoma" w:cs="Tahoma"/>
        </w:rPr>
        <w:t>igibles et le montant des perceptions qui auraient due être effectuées</w:t>
      </w:r>
      <w:r>
        <w:rPr>
          <w:rFonts w:ascii="Tahoma" w:hAnsi="Tahoma" w:cs="Tahoma"/>
        </w:rPr>
        <w:t>.</w:t>
      </w:r>
      <w:r>
        <w:t xml:space="preserve"> </w:t>
      </w:r>
    </w:p>
  </w:footnote>
  <w:footnote w:id="33">
    <w:p w:rsidR="0016447D" w:rsidRDefault="0016447D">
      <w:pPr>
        <w:pStyle w:val="Notedebasdepage"/>
      </w:pPr>
      <w:r>
        <w:rPr>
          <w:rStyle w:val="Appelnotedebasdep"/>
        </w:rPr>
        <w:footnoteRef/>
      </w:r>
      <w:r>
        <w:t xml:space="preserve"> </w:t>
      </w:r>
      <w:r w:rsidRPr="0016447D">
        <w:rPr>
          <w:rFonts w:ascii="Tahoma" w:hAnsi="Tahoma" w:cs="Tahoma"/>
        </w:rPr>
        <w:t xml:space="preserve">Désignent la différence entre le montant des perceptions légalement </w:t>
      </w:r>
      <w:r>
        <w:rPr>
          <w:rFonts w:ascii="Tahoma" w:hAnsi="Tahoma" w:cs="Tahoma"/>
        </w:rPr>
        <w:t xml:space="preserve"> ex</w:t>
      </w:r>
      <w:r w:rsidRPr="0016447D">
        <w:rPr>
          <w:rFonts w:ascii="Tahoma" w:hAnsi="Tahoma" w:cs="Tahoma"/>
        </w:rPr>
        <w:t>igibles et le montant des perceptions qui</w:t>
      </w:r>
      <w:r>
        <w:rPr>
          <w:rFonts w:ascii="Tahoma" w:hAnsi="Tahoma" w:cs="Tahoma"/>
        </w:rPr>
        <w:t xml:space="preserve"> ont effectivement </w:t>
      </w:r>
      <w:r w:rsidRPr="0016447D">
        <w:rPr>
          <w:rFonts w:ascii="Tahoma" w:hAnsi="Tahoma" w:cs="Tahoma"/>
        </w:rPr>
        <w:t>être effectuées</w:t>
      </w:r>
      <w:r>
        <w:rPr>
          <w:rFonts w:ascii="Tahoma" w:hAnsi="Tahoma" w:cs="Tahoma"/>
        </w:rPr>
        <w:t>.</w:t>
      </w:r>
    </w:p>
  </w:footnote>
  <w:footnote w:id="34">
    <w:p w:rsidR="002C5FA3" w:rsidRPr="00F872A8" w:rsidRDefault="002C5FA3" w:rsidP="00F872A8">
      <w:pPr>
        <w:pStyle w:val="Notedebasdepage"/>
        <w:spacing w:line="360" w:lineRule="auto"/>
        <w:jc w:val="both"/>
        <w:rPr>
          <w:rFonts w:ascii="Tahoma" w:hAnsi="Tahoma" w:cs="Tahoma"/>
        </w:rPr>
      </w:pPr>
      <w:r w:rsidRPr="00F872A8">
        <w:rPr>
          <w:rStyle w:val="Appelnotedebasdep"/>
          <w:rFonts w:ascii="Tahoma" w:hAnsi="Tahoma" w:cs="Tahoma"/>
        </w:rPr>
        <w:footnoteRef/>
      </w:r>
      <w:r w:rsidRPr="00F872A8">
        <w:rPr>
          <w:rFonts w:ascii="Tahoma" w:hAnsi="Tahoma" w:cs="Tahoma"/>
        </w:rPr>
        <w:t xml:space="preserve"> Article 8 du Code de Procédure Pénale</w:t>
      </w:r>
    </w:p>
  </w:footnote>
  <w:footnote w:id="35">
    <w:p w:rsidR="002C5FA3" w:rsidRPr="00F872A8" w:rsidRDefault="002C5FA3" w:rsidP="00F872A8">
      <w:pPr>
        <w:pStyle w:val="Notedebasdepage"/>
        <w:spacing w:line="360" w:lineRule="auto"/>
        <w:jc w:val="both"/>
        <w:rPr>
          <w:rFonts w:ascii="Tahoma" w:hAnsi="Tahoma" w:cs="Tahoma"/>
        </w:rPr>
      </w:pPr>
      <w:r w:rsidRPr="00F872A8">
        <w:rPr>
          <w:rStyle w:val="Appelnotedebasdep"/>
          <w:rFonts w:ascii="Tahoma" w:hAnsi="Tahoma" w:cs="Tahoma"/>
        </w:rPr>
        <w:footnoteRef/>
      </w:r>
      <w:r w:rsidRPr="00F872A8">
        <w:rPr>
          <w:rFonts w:ascii="Tahoma" w:hAnsi="Tahoma" w:cs="Tahoma"/>
        </w:rPr>
        <w:t xml:space="preserve"> Mesure d’information judiciaire utile à la manifestation de la vérité ,prise ou ordonnée  par une juridiction d’instruction, et qui a notamment pour effet d’interrompre la rescription de l‘action publique ( cf lexique des termes juridique 2Oe edition, 2013,page 20).</w:t>
      </w:r>
    </w:p>
  </w:footnote>
  <w:footnote w:id="36">
    <w:p w:rsidR="002C5FA3" w:rsidRPr="00F872A8" w:rsidRDefault="002C5FA3" w:rsidP="00F872A8">
      <w:pPr>
        <w:pStyle w:val="Notedebasdepage"/>
        <w:spacing w:line="360" w:lineRule="auto"/>
        <w:jc w:val="both"/>
        <w:rPr>
          <w:rFonts w:ascii="Tahoma" w:hAnsi="Tahoma" w:cs="Tahoma"/>
        </w:rPr>
      </w:pPr>
      <w:r w:rsidRPr="00F872A8">
        <w:rPr>
          <w:rStyle w:val="Appelnotedebasdep"/>
          <w:rFonts w:ascii="Tahoma" w:hAnsi="Tahoma" w:cs="Tahoma"/>
        </w:rPr>
        <w:footnoteRef/>
      </w:r>
      <w:r w:rsidRPr="00F872A8">
        <w:rPr>
          <w:rFonts w:ascii="Tahoma" w:hAnsi="Tahoma" w:cs="Tahoma"/>
        </w:rPr>
        <w:t xml:space="preserve"> Au sens large, tout acte qui déclenche l’action publique. Au</w:t>
      </w:r>
      <w:r w:rsidR="00F872A8">
        <w:rPr>
          <w:rFonts w:ascii="Tahoma" w:hAnsi="Tahoma" w:cs="Tahoma"/>
        </w:rPr>
        <w:t xml:space="preserve"> sens restreint</w:t>
      </w:r>
      <w:r w:rsidRPr="00F872A8">
        <w:rPr>
          <w:rFonts w:ascii="Tahoma" w:hAnsi="Tahoma" w:cs="Tahoma"/>
        </w:rPr>
        <w:t xml:space="preserve">,acte interruptif de la prescription de l’action publique ( cf lexique des termes juridique 2Oe édition, 2013,page 20). </w:t>
      </w:r>
    </w:p>
  </w:footnote>
  <w:footnote w:id="37">
    <w:p w:rsidR="0016447D" w:rsidRDefault="0016447D" w:rsidP="00F872A8">
      <w:pPr>
        <w:pStyle w:val="Notedebasdepage"/>
        <w:spacing w:line="360" w:lineRule="auto"/>
        <w:jc w:val="both"/>
      </w:pPr>
      <w:r w:rsidRPr="00F872A8">
        <w:rPr>
          <w:rStyle w:val="Appelnotedebasdep"/>
          <w:rFonts w:ascii="Tahoma" w:hAnsi="Tahoma" w:cs="Tahoma"/>
        </w:rPr>
        <w:footnoteRef/>
      </w:r>
      <w:r w:rsidRPr="00F872A8">
        <w:rPr>
          <w:rFonts w:ascii="Tahoma" w:hAnsi="Tahoma" w:cs="Tahoma"/>
        </w:rPr>
        <w:t xml:space="preserve"> </w:t>
      </w:r>
      <w:r w:rsidR="00F872A8" w:rsidRPr="00F872A8">
        <w:rPr>
          <w:rFonts w:ascii="Tahoma" w:hAnsi="Tahoma" w:cs="Tahoma"/>
        </w:rPr>
        <w:t>Obstacle de droit est constitué lorsqu’une situation juridique particulière interdit momentanément les poursuites ou les subordonne à certaines formalités, tandis l’o</w:t>
      </w:r>
      <w:r w:rsidRPr="00F872A8">
        <w:rPr>
          <w:rFonts w:ascii="Tahoma" w:hAnsi="Tahoma" w:cs="Tahoma"/>
        </w:rPr>
        <w:t xml:space="preserve">bstacle </w:t>
      </w:r>
      <w:r w:rsidR="00F872A8" w:rsidRPr="00F872A8">
        <w:rPr>
          <w:rFonts w:ascii="Tahoma" w:hAnsi="Tahoma" w:cs="Tahoma"/>
        </w:rPr>
        <w:t>de fait consiste à</w:t>
      </w:r>
      <w:r w:rsidRPr="00F872A8">
        <w:rPr>
          <w:rFonts w:ascii="Tahoma" w:hAnsi="Tahoma" w:cs="Tahoma"/>
        </w:rPr>
        <w:t xml:space="preserve"> un événement  quelconque dont l’effet est de rendre matériellement impossible l’exercice de l’action publique</w:t>
      </w:r>
      <w:r w:rsidR="00F872A8" w:rsidRPr="00F872A8">
        <w:rPr>
          <w:rFonts w:ascii="Tahoma" w:hAnsi="Tahoma" w:cs="Tahoma"/>
        </w:rPr>
        <w:t xml:space="preserve"> (Cour d’Appel chambre d’Accusation arrêt n°265 du 18 décembre 2013 Ministère Public c/ SARR).</w:t>
      </w:r>
    </w:p>
  </w:footnote>
  <w:footnote w:id="38">
    <w:p w:rsidR="002C5FA3" w:rsidRDefault="002C5FA3" w:rsidP="008B7C33">
      <w:pPr>
        <w:pStyle w:val="Notedebasdepage"/>
      </w:pPr>
      <w:r>
        <w:rPr>
          <w:rStyle w:val="Appelnotedebasdep"/>
        </w:rPr>
        <w:footnoteRef/>
      </w:r>
      <w:r>
        <w:t xml:space="preserve"> Article 39 de la loi 2014-12 </w:t>
      </w:r>
      <w:r w:rsidR="00F872A8">
        <w:t xml:space="preserve">du </w:t>
      </w:r>
      <w:r w:rsidR="00F872A8">
        <w:rPr>
          <w:rFonts w:ascii="Tahoma" w:hAnsi="Tahoma" w:cs="Tahoma"/>
          <w:bCs/>
          <w:sz w:val="24"/>
          <w:szCs w:val="24"/>
        </w:rPr>
        <w:t xml:space="preserve">28 février 2014  sur </w:t>
      </w:r>
      <w:r w:rsidR="00F872A8" w:rsidRPr="00DA2AE2">
        <w:rPr>
          <w:rFonts w:ascii="Tahoma" w:hAnsi="Tahoma" w:cs="Tahoma"/>
          <w:bCs/>
          <w:sz w:val="24"/>
          <w:szCs w:val="24"/>
        </w:rPr>
        <w:t>le contentieux des infractions à la réglementation des relations financières  extérieures  des Etats membres de l’Union Economique et Monétaire  Ouest Africaine (UEMOA)</w:t>
      </w:r>
    </w:p>
  </w:footnote>
  <w:footnote w:id="39">
    <w:p w:rsidR="002C5FA3" w:rsidRDefault="002C5FA3" w:rsidP="008B7C33">
      <w:pPr>
        <w:pStyle w:val="Notedebasdepage"/>
      </w:pPr>
      <w:r>
        <w:rPr>
          <w:rStyle w:val="Appelnotedebasdep"/>
        </w:rPr>
        <w:footnoteRef/>
      </w:r>
      <w:r>
        <w:t xml:space="preserve"> Article 40 loi 2014-12</w:t>
      </w:r>
      <w:r w:rsidR="00F872A8">
        <w:t xml:space="preserve"> sus visée.</w:t>
      </w:r>
    </w:p>
  </w:footnote>
  <w:footnote w:id="40">
    <w:p w:rsidR="002C5FA3" w:rsidRDefault="002C5FA3">
      <w:pPr>
        <w:pStyle w:val="Notedebasdepage"/>
      </w:pPr>
      <w:r>
        <w:rPr>
          <w:rStyle w:val="Appelnotedebasdep"/>
        </w:rPr>
        <w:footnoteRef/>
      </w:r>
      <w:r>
        <w:t xml:space="preserve"> Cf articles 369 et 370 de la loi 65-61 du 21 juillet 1965 PORTANT Code de procédure pénale,</w:t>
      </w:r>
      <w:r w:rsidR="00F872A8">
        <w:t xml:space="preserve"> </w:t>
      </w:r>
      <w:r>
        <w:t>modifiée.</w:t>
      </w:r>
    </w:p>
  </w:footnote>
  <w:footnote w:id="41">
    <w:p w:rsidR="002C5FA3" w:rsidRPr="00513463" w:rsidRDefault="002C5FA3" w:rsidP="00513463">
      <w:pPr>
        <w:pStyle w:val="Default"/>
        <w:spacing w:line="360" w:lineRule="auto"/>
        <w:jc w:val="both"/>
        <w:rPr>
          <w:rFonts w:ascii="Tahoma" w:hAnsi="Tahoma" w:cs="Tahoma"/>
          <w:sz w:val="20"/>
          <w:szCs w:val="20"/>
        </w:rPr>
      </w:pPr>
      <w:r w:rsidRPr="00513463">
        <w:rPr>
          <w:rStyle w:val="Appelnotedebasdep"/>
          <w:rFonts w:ascii="Tahoma" w:hAnsi="Tahoma" w:cs="Tahoma"/>
          <w:sz w:val="20"/>
          <w:szCs w:val="20"/>
        </w:rPr>
        <w:footnoteRef/>
      </w:r>
      <w:r w:rsidRPr="00513463">
        <w:rPr>
          <w:rFonts w:ascii="Tahoma" w:hAnsi="Tahoma" w:cs="Tahoma"/>
          <w:sz w:val="20"/>
          <w:szCs w:val="20"/>
        </w:rPr>
        <w:t xml:space="preserve">«  </w:t>
      </w:r>
      <w:r w:rsidRPr="00513463">
        <w:rPr>
          <w:rFonts w:ascii="Tahoma" w:hAnsi="Tahoma" w:cs="Tahoma"/>
          <w:b/>
          <w:bCs/>
          <w:sz w:val="20"/>
          <w:szCs w:val="20"/>
        </w:rPr>
        <w:t>Article 317  du code des douanes :</w:t>
      </w:r>
      <w:r w:rsidRPr="00513463">
        <w:rPr>
          <w:rFonts w:ascii="Tahoma" w:hAnsi="Tahoma" w:cs="Tahoma"/>
          <w:sz w:val="20"/>
          <w:szCs w:val="20"/>
        </w:rPr>
        <w:t xml:space="preserve">1. Quiconque veut s'inscrire en faux contre un procès-verbal est tenu d'en faire déclaration par écrit, en personne ou par un fondé de pouvoir spécial, au plus tard à l'audience indiquée par la sommation de comparaître devant le tribunal qui doit connaître de l'infraction. </w:t>
      </w:r>
    </w:p>
    <w:p w:rsidR="002C5FA3" w:rsidRPr="00513463" w:rsidRDefault="002C5FA3" w:rsidP="00513463">
      <w:pPr>
        <w:autoSpaceDE w:val="0"/>
        <w:autoSpaceDN w:val="0"/>
        <w:adjustRightInd w:val="0"/>
        <w:spacing w:after="0" w:line="360" w:lineRule="auto"/>
        <w:jc w:val="both"/>
        <w:rPr>
          <w:rFonts w:ascii="Tahoma" w:hAnsi="Tahoma" w:cs="Tahoma"/>
          <w:color w:val="000000"/>
          <w:sz w:val="20"/>
          <w:szCs w:val="20"/>
        </w:rPr>
      </w:pPr>
      <w:r w:rsidRPr="00513463">
        <w:rPr>
          <w:rFonts w:ascii="Tahoma" w:hAnsi="Tahoma" w:cs="Tahoma"/>
          <w:color w:val="000000"/>
          <w:sz w:val="20"/>
          <w:szCs w:val="20"/>
        </w:rPr>
        <w:t xml:space="preserve">2. Il doit, dans les cinq (05) jours suivants, faire au greffe dudit tribunal, le dépôt des moyens de faux et des noms et qualités des témoins qu'il veut faire entendre ; le tout sous peine de déchéance de l'inscription de faux. </w:t>
      </w:r>
    </w:p>
    <w:p w:rsidR="002C5FA3" w:rsidRDefault="002C5FA3" w:rsidP="00513463">
      <w:pPr>
        <w:pStyle w:val="Notedebasdepage"/>
        <w:spacing w:line="360" w:lineRule="auto"/>
        <w:jc w:val="both"/>
      </w:pPr>
      <w:r w:rsidRPr="00513463">
        <w:rPr>
          <w:rFonts w:ascii="Tahoma" w:hAnsi="Tahoma" w:cs="Tahoma"/>
          <w:color w:val="000000"/>
        </w:rPr>
        <w:t>3. Cette déclaration est reçue et signée par le juge et le greffier, dans le cas où le déclarant ne sait ni écrire, ni signer ».</w:t>
      </w:r>
    </w:p>
  </w:footnote>
  <w:footnote w:id="42">
    <w:p w:rsidR="002C5FA3" w:rsidRPr="00F261F4" w:rsidRDefault="002C5FA3" w:rsidP="00F261F4">
      <w:pPr>
        <w:spacing w:line="360" w:lineRule="auto"/>
        <w:jc w:val="both"/>
        <w:rPr>
          <w:rFonts w:ascii="Tahoma" w:hAnsi="Tahoma" w:cs="Tahoma"/>
          <w:sz w:val="20"/>
          <w:szCs w:val="20"/>
        </w:rPr>
      </w:pPr>
      <w:r w:rsidRPr="00F261F4">
        <w:rPr>
          <w:rStyle w:val="Appelnotedebasdep"/>
          <w:rFonts w:ascii="Tahoma" w:hAnsi="Tahoma" w:cs="Tahoma"/>
          <w:sz w:val="20"/>
          <w:szCs w:val="20"/>
        </w:rPr>
        <w:footnoteRef/>
      </w:r>
      <w:r w:rsidRPr="00F261F4">
        <w:rPr>
          <w:rFonts w:ascii="Tahoma" w:hAnsi="Tahoma" w:cs="Tahoma"/>
          <w:sz w:val="20"/>
          <w:szCs w:val="20"/>
        </w:rPr>
        <w:t xml:space="preserve"> Article 25 de la loi  n°2014-12 du 28 février </w:t>
      </w:r>
      <w:r w:rsidRPr="00F261F4">
        <w:rPr>
          <w:rFonts w:ascii="Tahoma" w:hAnsi="Tahoma" w:cs="Tahoma"/>
          <w:bCs/>
          <w:sz w:val="20"/>
          <w:szCs w:val="20"/>
        </w:rPr>
        <w:t>sur le contentieux des infractions à la réglementation des relations financières  extérieures  des Etats membres de l’Union Economique et Monétaire  Ouest Africaine (UEMOA)</w:t>
      </w:r>
      <w:r w:rsidRPr="00F261F4">
        <w:rPr>
          <w:rFonts w:ascii="Tahoma" w:hAnsi="Tahoma" w:cs="Tahoma"/>
          <w:sz w:val="20"/>
          <w:szCs w:val="20"/>
        </w:rPr>
        <w:t xml:space="preserve"> prévoit que les personnes physiques condamnées pour une infraction de la législation des changes condamnées pour sont de plein droit interdites, pendant cinq (5) ans d’exercer les fonctions d’agent de change, d’intermédiaire en bourse, d’agent d’assurance ; d’être électeurs, éligibles ou désignés aux juridictions professionnelles, aux chambres de commerce et aux chambres de métiers. </w:t>
      </w:r>
    </w:p>
  </w:footnote>
  <w:footnote w:id="43">
    <w:p w:rsidR="002C5FA3" w:rsidRDefault="002C5FA3" w:rsidP="00F261F4">
      <w:pPr>
        <w:autoSpaceDE w:val="0"/>
        <w:autoSpaceDN w:val="0"/>
        <w:adjustRightInd w:val="0"/>
        <w:spacing w:after="0" w:line="360" w:lineRule="auto"/>
        <w:jc w:val="both"/>
      </w:pPr>
      <w:r w:rsidRPr="00F261F4">
        <w:rPr>
          <w:rStyle w:val="Appelnotedebasdep"/>
          <w:rFonts w:ascii="Tahoma" w:hAnsi="Tahoma" w:cs="Tahoma"/>
          <w:sz w:val="20"/>
          <w:szCs w:val="20"/>
        </w:rPr>
        <w:footnoteRef/>
      </w:r>
      <w:r w:rsidRPr="00F261F4">
        <w:rPr>
          <w:rFonts w:ascii="Tahoma" w:hAnsi="Tahoma" w:cs="Tahoma"/>
          <w:sz w:val="20"/>
          <w:szCs w:val="20"/>
        </w:rPr>
        <w:t xml:space="preserve"> Article 27 de ladite loi une interdiction pour le personnes physiques condamnées de diriger, d’administrer ou de gérer un établissement de crédit ou une de ses agences ; d’exercer l’une des activités des établissements de crédit ;de proposer au public la création d’un</w:t>
      </w:r>
      <w:r w:rsidRPr="00F261F4">
        <w:rPr>
          <w:rFonts w:ascii="Tahoma" w:hAnsi="Tahoma" w:cs="Tahoma"/>
          <w:sz w:val="20"/>
        </w:rPr>
        <w:t xml:space="preserve"> </w:t>
      </w:r>
      <w:r w:rsidRPr="00F261F4">
        <w:rPr>
          <w:rFonts w:ascii="Tahoma" w:hAnsi="Tahoma" w:cs="Tahoma"/>
        </w:rPr>
        <w:t xml:space="preserve">établissement de crédit ; de prendre des participations dans le capital d’un établissement de crédit. </w:t>
      </w:r>
    </w:p>
  </w:footnote>
  <w:footnote w:id="44">
    <w:p w:rsidR="002C5FA3" w:rsidRDefault="002C5FA3" w:rsidP="00D02209">
      <w:pPr>
        <w:pStyle w:val="Notedebasdepage"/>
        <w:spacing w:line="360" w:lineRule="auto"/>
        <w:jc w:val="both"/>
      </w:pPr>
      <w:r>
        <w:rPr>
          <w:rStyle w:val="Appelnotedebasdep"/>
        </w:rPr>
        <w:footnoteRef/>
      </w:r>
      <w:r>
        <w:t xml:space="preserve"> </w:t>
      </w:r>
      <w:r w:rsidRPr="00D02209">
        <w:rPr>
          <w:rFonts w:ascii="Tahoma" w:hAnsi="Tahoma" w:cs="Tahoma"/>
        </w:rPr>
        <w:t xml:space="preserve">Article 26 de la loi </w:t>
      </w:r>
      <w:r w:rsidR="00D02209" w:rsidRPr="00D02209">
        <w:rPr>
          <w:rFonts w:ascii="Tahoma" w:hAnsi="Tahoma" w:cs="Tahoma"/>
        </w:rPr>
        <w:t xml:space="preserve"> du  </w:t>
      </w:r>
      <w:r w:rsidR="00D02209" w:rsidRPr="00D02209">
        <w:rPr>
          <w:rFonts w:ascii="Tahoma" w:hAnsi="Tahoma" w:cs="Tahoma"/>
          <w:bCs/>
        </w:rPr>
        <w:t>28 février 2014  sur le contentieux des infractions à la réglementation des relations financières  extérieures  des Etats membres de l’Union Economique et Monétaire  Ouest Africaine (UEMOA)</w:t>
      </w:r>
    </w:p>
  </w:footnote>
  <w:footnote w:id="45">
    <w:p w:rsidR="002C5FA3" w:rsidRPr="0003050A" w:rsidRDefault="002C5FA3" w:rsidP="0003050A">
      <w:pPr>
        <w:pStyle w:val="Notedebasdepage"/>
        <w:spacing w:line="360" w:lineRule="auto"/>
        <w:jc w:val="both"/>
        <w:rPr>
          <w:rFonts w:ascii="Tahoma" w:hAnsi="Tahoma" w:cs="Tahoma"/>
        </w:rPr>
      </w:pPr>
      <w:r w:rsidRPr="0003050A">
        <w:rPr>
          <w:rStyle w:val="Appelnotedebasdep"/>
          <w:rFonts w:ascii="Tahoma" w:hAnsi="Tahoma" w:cs="Tahoma"/>
        </w:rPr>
        <w:footnoteRef/>
      </w:r>
      <w:r w:rsidRPr="0003050A">
        <w:rPr>
          <w:rFonts w:ascii="Tahoma" w:hAnsi="Tahoma" w:cs="Tahoma"/>
        </w:rPr>
        <w:t xml:space="preserve"> Article 30 et 31 de la loi </w:t>
      </w:r>
      <w:r w:rsidR="00D02209">
        <w:rPr>
          <w:rFonts w:ascii="Tahoma" w:hAnsi="Tahoma" w:cs="Tahoma"/>
          <w:bCs/>
          <w:sz w:val="24"/>
          <w:szCs w:val="24"/>
        </w:rPr>
        <w:t xml:space="preserve">28 </w:t>
      </w:r>
      <w:r w:rsidR="00D02209" w:rsidRPr="00D02209">
        <w:rPr>
          <w:rFonts w:ascii="Tahoma" w:hAnsi="Tahoma" w:cs="Tahoma"/>
          <w:bCs/>
          <w:sz w:val="22"/>
          <w:szCs w:val="24"/>
        </w:rPr>
        <w:t>février 2014  sur le contentieux des infractions à la réglementation des relations financières  extérieures  des Etats membres de l’Union Economique et Monétaire  Ouest Africaine (UEMOA</w:t>
      </w:r>
      <w:r w:rsidR="00D02209" w:rsidRPr="00DA2AE2">
        <w:rPr>
          <w:rFonts w:ascii="Tahoma" w:hAnsi="Tahoma" w:cs="Tahoma"/>
          <w:bCs/>
          <w:sz w:val="24"/>
          <w:szCs w:val="24"/>
        </w:rPr>
        <w:t>)</w:t>
      </w:r>
    </w:p>
  </w:footnote>
  <w:footnote w:id="46">
    <w:p w:rsidR="002C5FA3" w:rsidRDefault="002C5FA3" w:rsidP="0003050A">
      <w:pPr>
        <w:pStyle w:val="Notedebasdepage"/>
        <w:spacing w:line="360" w:lineRule="auto"/>
        <w:jc w:val="both"/>
      </w:pPr>
      <w:r w:rsidRPr="0003050A">
        <w:rPr>
          <w:rStyle w:val="Appelnotedebasdep"/>
          <w:rFonts w:ascii="Tahoma" w:hAnsi="Tahoma" w:cs="Tahoma"/>
        </w:rPr>
        <w:footnoteRef/>
      </w:r>
      <w:r w:rsidRPr="0003050A">
        <w:rPr>
          <w:rFonts w:ascii="Tahoma" w:hAnsi="Tahoma" w:cs="Tahoma"/>
        </w:rPr>
        <w:t xml:space="preserve"> Article 45-1 du Code de Procédure Pénale « les personnes morales autres que l’état, les collectivités territoriales, les établissements publics, les agents d’exécution et les structures administratives similaires sont pénalement responsables des infract</w:t>
      </w:r>
      <w:r w:rsidR="000A33F2">
        <w:rPr>
          <w:rFonts w:ascii="Tahoma" w:hAnsi="Tahoma" w:cs="Tahoma"/>
        </w:rPr>
        <w:t>ions, commises pour leur compte</w:t>
      </w:r>
      <w:r w:rsidRPr="0003050A">
        <w:rPr>
          <w:rFonts w:ascii="Tahoma" w:hAnsi="Tahoma" w:cs="Tahoma"/>
        </w:rPr>
        <w:t>,</w:t>
      </w:r>
      <w:r w:rsidR="000A33F2">
        <w:rPr>
          <w:rFonts w:ascii="Tahoma" w:hAnsi="Tahoma" w:cs="Tahoma"/>
        </w:rPr>
        <w:t xml:space="preserve"> </w:t>
      </w:r>
      <w:r w:rsidRPr="0003050A">
        <w:rPr>
          <w:rFonts w:ascii="Tahoma" w:hAnsi="Tahoma" w:cs="Tahoma"/>
        </w:rPr>
        <w:t>par leurs organes ou représentants ».</w:t>
      </w:r>
    </w:p>
  </w:footnote>
  <w:footnote w:id="47">
    <w:p w:rsidR="002C5FA3" w:rsidRPr="000A33F2" w:rsidRDefault="002C5FA3" w:rsidP="000A33F2">
      <w:pPr>
        <w:pStyle w:val="Notedebasdepage"/>
        <w:spacing w:line="360" w:lineRule="auto"/>
        <w:jc w:val="both"/>
        <w:rPr>
          <w:rFonts w:ascii="Tahoma" w:hAnsi="Tahoma" w:cs="Tahoma"/>
        </w:rPr>
      </w:pPr>
      <w:r w:rsidRPr="000A33F2">
        <w:rPr>
          <w:rStyle w:val="Appelnotedebasdep"/>
          <w:rFonts w:ascii="Tahoma" w:hAnsi="Tahoma" w:cs="Tahoma"/>
        </w:rPr>
        <w:footnoteRef/>
      </w:r>
      <w:r w:rsidRPr="000A33F2">
        <w:rPr>
          <w:rFonts w:ascii="Tahoma" w:hAnsi="Tahoma" w:cs="Tahoma"/>
        </w:rPr>
        <w:t xml:space="preserve"> Somme d’argent destinée à réparer le  préjudice  subi par le créancier du fait du retard dans  l’exécution  par le débiteur de son obligation de se libérer de sa dette.(</w:t>
      </w:r>
      <w:r w:rsidR="0034540D">
        <w:rPr>
          <w:rFonts w:ascii="Tahoma" w:hAnsi="Tahoma" w:cs="Tahoma"/>
        </w:rPr>
        <w:t xml:space="preserve"> cf Lexiques des termes juridiq</w:t>
      </w:r>
      <w:r w:rsidRPr="000A33F2">
        <w:rPr>
          <w:rFonts w:ascii="Tahoma" w:hAnsi="Tahoma" w:cs="Tahoma"/>
        </w:rPr>
        <w:t>ues, 20</w:t>
      </w:r>
      <w:r w:rsidRPr="000A33F2">
        <w:rPr>
          <w:rFonts w:ascii="Tahoma" w:hAnsi="Tahoma" w:cs="Tahoma"/>
          <w:vertAlign w:val="superscript"/>
        </w:rPr>
        <w:t>e</w:t>
      </w:r>
      <w:r w:rsidRPr="000A33F2">
        <w:rPr>
          <w:rFonts w:ascii="Tahoma" w:hAnsi="Tahoma" w:cs="Tahoma"/>
        </w:rPr>
        <w:t xml:space="preserve"> Edition , 2013, page 508 .</w:t>
      </w:r>
    </w:p>
  </w:footnote>
  <w:footnote w:id="48">
    <w:p w:rsidR="002C5FA3" w:rsidRDefault="002C5FA3" w:rsidP="00020B43">
      <w:pPr>
        <w:pStyle w:val="Notedebasdepage"/>
        <w:spacing w:line="360" w:lineRule="auto"/>
      </w:pPr>
      <w:r>
        <w:rPr>
          <w:rStyle w:val="Appelnotedebasdep"/>
        </w:rPr>
        <w:footnoteRef/>
      </w:r>
      <w:r>
        <w:t xml:space="preserve"> Article 26 de la loi sur le </w:t>
      </w:r>
      <w:r w:rsidRPr="00020B43">
        <w:rPr>
          <w:rFonts w:ascii="Tahoma" w:hAnsi="Tahoma" w:cs="Tahoma"/>
        </w:rPr>
        <w:t xml:space="preserve">contentieux </w:t>
      </w:r>
      <w:r w:rsidRPr="00020B43">
        <w:rPr>
          <w:rFonts w:ascii="Tahoma" w:hAnsi="Tahoma" w:cs="Tahoma"/>
          <w:bCs/>
        </w:rPr>
        <w:t>28 février 2014  sur le contentieux des infractions à la réglementation des relations financières  extérieures  des Etats membres de l’Union Economique et Monétaire  Ouest Africaine (UEMOA)</w:t>
      </w:r>
    </w:p>
  </w:footnote>
  <w:footnote w:id="49">
    <w:p w:rsidR="00821C76" w:rsidRDefault="00821C76">
      <w:pPr>
        <w:pStyle w:val="Notedebasdepage"/>
      </w:pPr>
      <w:r>
        <w:rPr>
          <w:rStyle w:val="Appelnotedebasdep"/>
        </w:rPr>
        <w:footnoteRef/>
      </w:r>
      <w:r>
        <w:t xml:space="preserve"> Article </w:t>
      </w:r>
      <w:r w:rsidR="006C4466">
        <w:t>710</w:t>
      </w:r>
      <w:r>
        <w:t xml:space="preserve"> du code de </w:t>
      </w:r>
      <w:r w:rsidR="006C4466">
        <w:t>procédure pénale</w:t>
      </w:r>
    </w:p>
  </w:footnote>
  <w:footnote w:id="50">
    <w:p w:rsidR="002C5FA3" w:rsidRDefault="002C5FA3" w:rsidP="00DA2AE2">
      <w:pPr>
        <w:pStyle w:val="Notedebasdepage"/>
      </w:pPr>
      <w:r>
        <w:rPr>
          <w:rStyle w:val="Appelnotedebasdep"/>
        </w:rPr>
        <w:footnoteRef/>
      </w:r>
      <w:r>
        <w:t xml:space="preserve"> Lexique des termes juridiques, 20</w:t>
      </w:r>
      <w:r w:rsidRPr="0006463A">
        <w:rPr>
          <w:vertAlign w:val="superscript"/>
        </w:rPr>
        <w:t>e</w:t>
      </w:r>
      <w:r>
        <w:t xml:space="preserve"> édition 2013,page 693. </w:t>
      </w:r>
    </w:p>
  </w:footnote>
  <w:footnote w:id="51">
    <w:p w:rsidR="002C5FA3" w:rsidRPr="00E54F58" w:rsidRDefault="002C5FA3" w:rsidP="00E54F58">
      <w:pPr>
        <w:pStyle w:val="Notedebasdepage"/>
        <w:spacing w:line="360" w:lineRule="auto"/>
        <w:jc w:val="both"/>
        <w:rPr>
          <w:rFonts w:ascii="Tahoma" w:hAnsi="Tahoma" w:cs="Tahoma"/>
        </w:rPr>
      </w:pPr>
      <w:r>
        <w:rPr>
          <w:rStyle w:val="Appelnotedebasdep"/>
        </w:rPr>
        <w:footnoteRef/>
      </w:r>
      <w:r>
        <w:t xml:space="preserve"> </w:t>
      </w:r>
      <w:r w:rsidRPr="00E54F58">
        <w:rPr>
          <w:rFonts w:ascii="Tahoma" w:hAnsi="Tahoma" w:cs="Tahoma"/>
        </w:rPr>
        <w:t xml:space="preserve">Code des douanes  du </w:t>
      </w:r>
      <w:r>
        <w:rPr>
          <w:rFonts w:ascii="Tahoma" w:hAnsi="Tahoma" w:cs="Tahoma"/>
        </w:rPr>
        <w:t xml:space="preserve">Sénégal </w:t>
      </w:r>
      <w:r w:rsidRPr="00E54F58">
        <w:rPr>
          <w:rFonts w:ascii="Tahoma" w:hAnsi="Tahoma" w:cs="Tahoma"/>
        </w:rPr>
        <w:t xml:space="preserve"> annoté, </w:t>
      </w:r>
      <w:r>
        <w:rPr>
          <w:rFonts w:ascii="Tahoma" w:hAnsi="Tahoma" w:cs="Tahoma"/>
        </w:rPr>
        <w:t>édition</w:t>
      </w:r>
      <w:r w:rsidRPr="00E54F58">
        <w:rPr>
          <w:rFonts w:ascii="Tahoma" w:hAnsi="Tahoma" w:cs="Tahoma"/>
        </w:rPr>
        <w:t xml:space="preserve"> 2022,page 280-281 .</w:t>
      </w:r>
    </w:p>
  </w:footnote>
  <w:footnote w:id="52">
    <w:p w:rsidR="002C5FA3" w:rsidRPr="00E54F58" w:rsidRDefault="002C5FA3" w:rsidP="00E54F58">
      <w:pPr>
        <w:pStyle w:val="Notedebasdepage"/>
        <w:spacing w:line="360" w:lineRule="auto"/>
        <w:jc w:val="both"/>
        <w:rPr>
          <w:rFonts w:ascii="Tahoma" w:hAnsi="Tahoma" w:cs="Tahoma"/>
        </w:rPr>
      </w:pPr>
      <w:r w:rsidRPr="00E54F58">
        <w:rPr>
          <w:rStyle w:val="Appelnotedebasdep"/>
          <w:rFonts w:ascii="Tahoma" w:hAnsi="Tahoma" w:cs="Tahoma"/>
        </w:rPr>
        <w:footnoteRef/>
      </w:r>
      <w:r w:rsidRPr="00E54F58">
        <w:rPr>
          <w:rFonts w:ascii="Tahoma" w:hAnsi="Tahoma" w:cs="Tahoma"/>
        </w:rPr>
        <w:t xml:space="preserve"> Procédure par laquelle certaines administrations ( contributions indirectes- douane, etc,) peuvent proposer aux délinquants l’abandon des poursuites pénales en contrepartie de l’aveu de l’infraction et du versement  d’une somme d’argent  dont elles fixent elles-mêmes le montant. Cette procédure d’application restrictive entraine l’extinction de l’action publique…..lexique des termes juridiques 20edition 2013 , page 901.</w:t>
      </w:r>
    </w:p>
  </w:footnote>
  <w:footnote w:id="53">
    <w:p w:rsidR="002C5FA3" w:rsidRPr="00E54F58" w:rsidRDefault="002C5FA3" w:rsidP="00E54F58">
      <w:pPr>
        <w:pStyle w:val="Notedebasdepage"/>
        <w:spacing w:line="360" w:lineRule="auto"/>
        <w:jc w:val="both"/>
        <w:rPr>
          <w:rFonts w:ascii="Tahoma" w:hAnsi="Tahoma" w:cs="Tahoma"/>
        </w:rPr>
      </w:pPr>
      <w:r w:rsidRPr="00E54F58">
        <w:rPr>
          <w:rStyle w:val="Appelnotedebasdep"/>
          <w:rFonts w:ascii="Tahoma" w:hAnsi="Tahoma" w:cs="Tahoma"/>
        </w:rPr>
        <w:footnoteRef/>
      </w:r>
      <w:r w:rsidRPr="00E54F58">
        <w:rPr>
          <w:rFonts w:ascii="Tahoma" w:hAnsi="Tahoma" w:cs="Tahoma"/>
        </w:rPr>
        <w:t xml:space="preserve"> Ceux nommément cités à</w:t>
      </w:r>
      <w:r>
        <w:rPr>
          <w:rFonts w:ascii="Tahoma" w:hAnsi="Tahoma" w:cs="Tahoma"/>
        </w:rPr>
        <w:t xml:space="preserve"> </w:t>
      </w:r>
      <w:r w:rsidRPr="00E54F58">
        <w:rPr>
          <w:rFonts w:ascii="Tahoma" w:hAnsi="Tahoma" w:cs="Tahoma"/>
        </w:rPr>
        <w:t>l’article 6 de la loi 2014-12 du 28 février 2014 .</w:t>
      </w:r>
    </w:p>
    <w:p w:rsidR="002C5FA3" w:rsidRPr="00E54F58" w:rsidRDefault="002C5FA3" w:rsidP="00E54F58">
      <w:pPr>
        <w:pStyle w:val="Notedebasdepage"/>
        <w:spacing w:line="360" w:lineRule="auto"/>
        <w:jc w:val="both"/>
        <w:rPr>
          <w:rFonts w:ascii="Tahoma" w:hAnsi="Tahoma" w:cs="Tahoma"/>
        </w:rPr>
      </w:pPr>
    </w:p>
  </w:footnote>
  <w:footnote w:id="54">
    <w:p w:rsidR="002C5FA3" w:rsidRDefault="002C5FA3" w:rsidP="00E54F58">
      <w:pPr>
        <w:pStyle w:val="Notedebasdepage"/>
        <w:spacing w:line="360" w:lineRule="auto"/>
        <w:jc w:val="both"/>
      </w:pPr>
      <w:r>
        <w:rPr>
          <w:rStyle w:val="Appelnotedebasdep"/>
        </w:rPr>
        <w:footnoteRef/>
      </w:r>
      <w:r>
        <w:t xml:space="preserve"> </w:t>
      </w:r>
      <w:r>
        <w:rPr>
          <w:rFonts w:ascii="Tahoma" w:hAnsi="Tahoma" w:cs="Tahoma"/>
          <w:color w:val="FF0000"/>
          <w:sz w:val="24"/>
          <w:szCs w:val="24"/>
        </w:rPr>
        <w:t xml:space="preserve"> </w:t>
      </w:r>
      <w:r w:rsidRPr="00E54F58">
        <w:rPr>
          <w:rFonts w:ascii="Tahoma" w:hAnsi="Tahoma" w:cs="Tahoma"/>
          <w:color w:val="FF0000"/>
          <w:sz w:val="22"/>
          <w:szCs w:val="24"/>
        </w:rPr>
        <w:t>décret n°2016-949 du 12 juillet 2016 fixant les conditions d’acceptation des transactions avant la mise en œuvre  de l’action judiciaire dans le cadre des infractions à la réglementation des relations financières extérieures  des Etats membres de l’UEMOA.</w:t>
      </w:r>
    </w:p>
  </w:footnote>
  <w:footnote w:id="55">
    <w:p w:rsidR="002C5FA3" w:rsidRPr="00A27E47" w:rsidRDefault="002C5FA3" w:rsidP="00133F3D">
      <w:pPr>
        <w:pStyle w:val="Notedebasdepage"/>
        <w:spacing w:line="360" w:lineRule="auto"/>
        <w:jc w:val="both"/>
        <w:rPr>
          <w:rFonts w:ascii="Tahoma" w:hAnsi="Tahoma" w:cs="Tahoma"/>
        </w:rPr>
      </w:pPr>
      <w:r>
        <w:rPr>
          <w:rStyle w:val="Appelnotedebasdep"/>
        </w:rPr>
        <w:footnoteRef/>
      </w:r>
      <w:r>
        <w:t xml:space="preserve"> </w:t>
      </w:r>
      <w:r>
        <w:rPr>
          <w:rFonts w:ascii="Tahoma" w:hAnsi="Tahoma" w:cs="Tahoma"/>
          <w:color w:val="FF0000"/>
          <w:sz w:val="24"/>
          <w:szCs w:val="24"/>
        </w:rPr>
        <w:t xml:space="preserve"> </w:t>
      </w:r>
      <w:r w:rsidRPr="00A27E47">
        <w:rPr>
          <w:rFonts w:ascii="Tahoma" w:hAnsi="Tahoma" w:cs="Tahoma"/>
          <w:color w:val="FF0000"/>
        </w:rPr>
        <w:t>décret n°2016-949 du 12 juillet 2016 fixant les conditions d’acceptation des transactions avant la mise en œuvre  de l’action judiciaire dans le cadre des infractions à la réglementation des relations financières extérieures  des Etats membres de l’UEMOA. ,</w:t>
      </w:r>
      <w:r w:rsidRPr="00A27E47">
        <w:rPr>
          <w:rFonts w:ascii="Tahoma" w:eastAsia="Times New Roman" w:hAnsi="Tahoma" w:cs="Tahoma"/>
          <w:color w:val="FF0000"/>
          <w:lang w:eastAsia="fr-FR"/>
        </w:rPr>
        <w:t xml:space="preserve"> l’offre de transaction acceptée par </w:t>
      </w:r>
      <w:r w:rsidRPr="00A27E47">
        <w:rPr>
          <w:rFonts w:ascii="Tahoma" w:eastAsia="Times New Roman" w:hAnsi="Tahoma" w:cs="Tahoma"/>
          <w:color w:val="353535"/>
          <w:lang w:eastAsia="fr-FR"/>
        </w:rPr>
        <w:t xml:space="preserve"> </w:t>
      </w:r>
    </w:p>
  </w:footnote>
  <w:footnote w:id="56">
    <w:p w:rsidR="002C5FA3" w:rsidRDefault="002C5FA3" w:rsidP="00133F3D">
      <w:pPr>
        <w:pStyle w:val="Notedebasdepage"/>
        <w:spacing w:line="360" w:lineRule="auto"/>
        <w:jc w:val="both"/>
      </w:pPr>
      <w:r w:rsidRPr="00A27E47">
        <w:rPr>
          <w:rStyle w:val="Appelnotedebasdep"/>
          <w:rFonts w:ascii="Tahoma" w:hAnsi="Tahoma" w:cs="Tahoma"/>
        </w:rPr>
        <w:footnoteRef/>
      </w:r>
      <w:r w:rsidRPr="00A27E47">
        <w:rPr>
          <w:rFonts w:ascii="Tahoma" w:hAnsi="Tahoma" w:cs="Tahoma"/>
        </w:rPr>
        <w:t xml:space="preserve"> Cf partie relative à la transaction.</w:t>
      </w:r>
    </w:p>
  </w:footnote>
  <w:footnote w:id="57">
    <w:p w:rsidR="002C5FA3" w:rsidRDefault="002C5FA3" w:rsidP="00133F3D">
      <w:pPr>
        <w:pStyle w:val="Notedebasdepage"/>
      </w:pPr>
      <w:r>
        <w:rPr>
          <w:rStyle w:val="Appelnotedebasdep"/>
        </w:rPr>
        <w:footnoteRef/>
      </w:r>
      <w:r>
        <w:t xml:space="preserve"> Article 26 de la loi sur le contentieux</w:t>
      </w:r>
    </w:p>
  </w:footnote>
  <w:footnote w:id="58">
    <w:p w:rsidR="002C5FA3" w:rsidRDefault="002C5FA3" w:rsidP="00133F3D">
      <w:pPr>
        <w:spacing w:line="360" w:lineRule="auto"/>
        <w:jc w:val="both"/>
        <w:rPr>
          <w:rFonts w:ascii="Tahoma" w:hAnsi="Tahoma" w:cs="Tahoma"/>
          <w:bCs/>
          <w:sz w:val="24"/>
          <w:szCs w:val="24"/>
        </w:rPr>
      </w:pPr>
      <w:r>
        <w:rPr>
          <w:rStyle w:val="Appelnotedebasdep"/>
        </w:rPr>
        <w:footnoteRef/>
      </w:r>
      <w:r>
        <w:t xml:space="preserve"> </w:t>
      </w:r>
      <w:r w:rsidRPr="00601F98">
        <w:rPr>
          <w:rFonts w:ascii="Tahoma" w:hAnsi="Tahoma" w:cs="Tahoma"/>
          <w:sz w:val="20"/>
          <w:szCs w:val="20"/>
        </w:rPr>
        <w:t xml:space="preserve">ARTICLE 28delaloi 2014-12  du </w:t>
      </w:r>
      <w:r w:rsidRPr="00601F98">
        <w:rPr>
          <w:rFonts w:ascii="Tahoma" w:hAnsi="Tahoma" w:cs="Tahoma"/>
          <w:bCs/>
          <w:sz w:val="20"/>
          <w:szCs w:val="20"/>
        </w:rPr>
        <w:t xml:space="preserve"> 28 février 2014  sur le contentieux des infractions à la réglementation des relations financières  extérieures  des Etats membres de l’Union Economique et Monétaire  Ouest Africaine (UEMOA)</w:t>
      </w:r>
    </w:p>
    <w:p w:rsidR="002C5FA3" w:rsidRDefault="002C5FA3" w:rsidP="00133F3D">
      <w:pPr>
        <w:pStyle w:val="Notedebasdepage"/>
      </w:pPr>
    </w:p>
  </w:footnote>
  <w:footnote w:id="59">
    <w:p w:rsidR="002C5FA3" w:rsidRDefault="002C5FA3" w:rsidP="0015323C">
      <w:pPr>
        <w:pStyle w:val="Notedebasdepage"/>
      </w:pPr>
      <w:r>
        <w:rPr>
          <w:rStyle w:val="Appelnotedebasdep"/>
        </w:rPr>
        <w:footnoteRef/>
      </w:r>
      <w:r>
        <w:t xml:space="preserve"> </w:t>
      </w:r>
    </w:p>
  </w:footnote>
  <w:footnote w:id="60">
    <w:p w:rsidR="002C5FA3" w:rsidRDefault="002C5FA3" w:rsidP="0015323C">
      <w:pPr>
        <w:pStyle w:val="Notedebasdepage"/>
      </w:pPr>
      <w:r>
        <w:rPr>
          <w:rStyle w:val="Appelnotedebasdep"/>
        </w:rPr>
        <w:footnoteRef/>
      </w:r>
      <w:r>
        <w:t xml:space="preserve"> L’article 94  du code des drogues ne donne qu’une indication en reprenant une formule utilisée à l’article 1</w:t>
      </w:r>
      <w:r w:rsidRPr="00357CF1">
        <w:rPr>
          <w:vertAlign w:val="superscript"/>
        </w:rPr>
        <w:t>er</w:t>
      </w:r>
      <w:r>
        <w:t xml:space="preserve"> DE LA CONVENTION Unique de 1961 et selon laquelle « l’expression « stupéfiant » désigne toute les substances des tableaux I et II qu’elle soit naturelle ou synthétique.</w:t>
      </w:r>
    </w:p>
  </w:footnote>
  <w:footnote w:id="61">
    <w:p w:rsidR="002C5FA3" w:rsidRDefault="002C5FA3" w:rsidP="0015323C">
      <w:pPr>
        <w:pStyle w:val="Notedebasdepage"/>
      </w:pPr>
      <w:r>
        <w:rPr>
          <w:rStyle w:val="Appelnotedebasdep"/>
        </w:rPr>
        <w:footnoteRef/>
      </w:r>
      <w:r>
        <w:t xml:space="preserve"> L’article 94  du code des drogues reprenant une formule utilisée à l’article 1</w:t>
      </w:r>
      <w:r w:rsidRPr="00357CF1">
        <w:rPr>
          <w:vertAlign w:val="superscript"/>
        </w:rPr>
        <w:t>er</w:t>
      </w:r>
      <w:r>
        <w:t xml:space="preserve"> DE LA CONVENTION Unique de 1961 prévoit que  l’expression «  substances psychotropes » désigne toute substance d’origine naturelle ou synthétique ou tout produit naturel des Tableaux I, II, III et IV de la Convention  de 1971 sur les substances psychotropes et des autres Conventions  des Nations Unies.</w:t>
      </w:r>
    </w:p>
  </w:footnote>
  <w:footnote w:id="62">
    <w:p w:rsidR="002C5FA3" w:rsidRDefault="002C5FA3" w:rsidP="0015323C">
      <w:pPr>
        <w:pStyle w:val="Notedebasdepage"/>
      </w:pPr>
      <w:r>
        <w:rPr>
          <w:rStyle w:val="Appelnotedebasdep"/>
        </w:rPr>
        <w:footnoteRef/>
      </w:r>
      <w:r>
        <w:t xml:space="preserve"> Aux termes de l’article 3 du code des drogues, « les précurseurs » désignent toutes les substances utilisées dans la fabrication des stupéfiants et des substances psychotropes classées par la Convention contre le trafic des stupéfiants et des substances  psychotropes  de 1988 ou en application de cette convention.  Ces substances sont énumérés dans le Tableau IV. Les précurseurs ou « produits chimiques essentiels » sont nécessaires à la fabrication de certaines drogues nécessitant une préparation. </w:t>
      </w:r>
    </w:p>
  </w:footnote>
  <w:footnote w:id="63">
    <w:p w:rsidR="002C5FA3" w:rsidRPr="0034540D" w:rsidRDefault="002C5FA3" w:rsidP="007012F2">
      <w:pPr>
        <w:pStyle w:val="Default"/>
        <w:rPr>
          <w:rFonts w:ascii="Times New Roman" w:hAnsi="Times New Roman" w:cs="Times New Roman"/>
          <w:sz w:val="20"/>
          <w:szCs w:val="20"/>
        </w:rPr>
      </w:pPr>
      <w:r w:rsidRPr="0034540D">
        <w:rPr>
          <w:rStyle w:val="Appelnotedebasdep"/>
          <w:sz w:val="20"/>
          <w:szCs w:val="20"/>
        </w:rPr>
        <w:footnoteRef/>
      </w:r>
      <w:r w:rsidRPr="0034540D">
        <w:rPr>
          <w:sz w:val="20"/>
          <w:szCs w:val="20"/>
        </w:rPr>
        <w:t xml:space="preserve"> </w:t>
      </w:r>
      <w:r w:rsidRPr="0034540D">
        <w:rPr>
          <w:rFonts w:ascii="Times New Roman" w:hAnsi="Times New Roman" w:cs="Times New Roman"/>
          <w:b/>
          <w:bCs/>
          <w:sz w:val="20"/>
          <w:szCs w:val="20"/>
        </w:rPr>
        <w:t>Article 45 :  « </w:t>
      </w:r>
      <w:r w:rsidRPr="0034540D">
        <w:rPr>
          <w:rFonts w:ascii="Times New Roman" w:hAnsi="Times New Roman" w:cs="Times New Roman"/>
          <w:sz w:val="20"/>
          <w:szCs w:val="20"/>
        </w:rPr>
        <w:t>Pour l'application des dispositions du présent code et en vue de la recherche de la fraude ou pour des raisons de sécurité, les agents des douanes peuvent procéder à la visite des marchandises, des moyens de transport et à celle des personnes, à l’entrée, à la sortie, en transit ou en transbordement ».</w:t>
      </w:r>
    </w:p>
    <w:p w:rsidR="002C5FA3" w:rsidRPr="0034540D" w:rsidRDefault="002C5FA3" w:rsidP="007012F2">
      <w:pPr>
        <w:pStyle w:val="Default"/>
        <w:rPr>
          <w:rFonts w:ascii="Times New Roman" w:hAnsi="Times New Roman" w:cs="Times New Roman"/>
          <w:sz w:val="20"/>
          <w:szCs w:val="20"/>
        </w:rPr>
      </w:pPr>
      <w:r w:rsidRPr="0034540D">
        <w:rPr>
          <w:rFonts w:ascii="Times New Roman" w:hAnsi="Times New Roman" w:cs="Times New Roman"/>
          <w:b/>
          <w:bCs/>
          <w:sz w:val="20"/>
          <w:szCs w:val="20"/>
        </w:rPr>
        <w:t>Article 46  du code des douanes « </w:t>
      </w:r>
      <w:r w:rsidRPr="0034540D">
        <w:rPr>
          <w:rFonts w:ascii="Times New Roman" w:hAnsi="Times New Roman" w:cs="Times New Roman"/>
          <w:sz w:val="20"/>
          <w:szCs w:val="20"/>
        </w:rPr>
        <w:t xml:space="preserve">1. Lorsque des indices sérieux laissent présumer qu’une personne transporte des drogues dissimulées dans son organisme, les officiers de police judiciaire et les fonctionnaires de douanes habilités à constater l’infraction peuvent saisir les services médicaux en vue de soumettre la personne mise en cause à des examens médicaux de dépistage. </w:t>
      </w:r>
    </w:p>
    <w:p w:rsidR="002C5FA3" w:rsidRPr="0034540D" w:rsidRDefault="002C5FA3" w:rsidP="007012F2">
      <w:pPr>
        <w:pStyle w:val="Default"/>
        <w:rPr>
          <w:rFonts w:ascii="Times New Roman" w:hAnsi="Times New Roman" w:cs="Times New Roman"/>
          <w:sz w:val="20"/>
          <w:szCs w:val="20"/>
        </w:rPr>
      </w:pPr>
      <w:r w:rsidRPr="0034540D">
        <w:rPr>
          <w:rFonts w:ascii="Times New Roman" w:hAnsi="Times New Roman" w:cs="Times New Roman"/>
          <w:sz w:val="20"/>
          <w:szCs w:val="20"/>
        </w:rPr>
        <w:t xml:space="preserve">2. Le refus de toute personne présumée transporter des drogues dans son organisme, de se soumettre à l’examen médical de dépistage, est puni d’un emprisonnement de trois (03) mois à un (01) an et d’une amende de 500.000 à 3.000.000 francs, ou de l’une de ces deux peines seulement…. » </w:t>
      </w:r>
    </w:p>
    <w:p w:rsidR="002C5FA3" w:rsidRDefault="002C5FA3" w:rsidP="007012F2">
      <w:pPr>
        <w:pStyle w:val="Notedebasdepage"/>
      </w:pPr>
    </w:p>
  </w:footnote>
  <w:footnote w:id="64">
    <w:p w:rsidR="001E5084" w:rsidRDefault="001E5084">
      <w:pPr>
        <w:pStyle w:val="Notedebasdepage"/>
      </w:pPr>
      <w:r>
        <w:rPr>
          <w:rStyle w:val="Appelnotedebasdep"/>
        </w:rPr>
        <w:footnoteRef/>
      </w:r>
      <w:r>
        <w:t xml:space="preserve"> Abroger consiste en la   suppression d’une règle normative ( loi, décret etc.) qui cesse ainsi d’être applicable pour l’avenir.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978"/>
      </v:shape>
    </w:pict>
  </w:numPicBullet>
  <w:abstractNum w:abstractNumId="0" w15:restartNumberingAfterBreak="0">
    <w:nsid w:val="011B0709"/>
    <w:multiLevelType w:val="hybridMultilevel"/>
    <w:tmpl w:val="A42CB848"/>
    <w:lvl w:ilvl="0" w:tplc="EE9EB11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CA0F1D"/>
    <w:multiLevelType w:val="hybridMultilevel"/>
    <w:tmpl w:val="4CC47C16"/>
    <w:lvl w:ilvl="0" w:tplc="040C0001">
      <w:start w:val="1"/>
      <w:numFmt w:val="bullet"/>
      <w:lvlText w:val=""/>
      <w:lvlJc w:val="left"/>
      <w:pPr>
        <w:ind w:left="1887" w:hanging="360"/>
      </w:pPr>
      <w:rPr>
        <w:rFonts w:ascii="Symbol" w:hAnsi="Symbol" w:hint="default"/>
      </w:rPr>
    </w:lvl>
    <w:lvl w:ilvl="1" w:tplc="040C0003" w:tentative="1">
      <w:start w:val="1"/>
      <w:numFmt w:val="bullet"/>
      <w:lvlText w:val="o"/>
      <w:lvlJc w:val="left"/>
      <w:pPr>
        <w:ind w:left="2607" w:hanging="360"/>
      </w:pPr>
      <w:rPr>
        <w:rFonts w:ascii="Courier New" w:hAnsi="Courier New" w:cs="Courier New" w:hint="default"/>
      </w:rPr>
    </w:lvl>
    <w:lvl w:ilvl="2" w:tplc="040C0005" w:tentative="1">
      <w:start w:val="1"/>
      <w:numFmt w:val="bullet"/>
      <w:lvlText w:val=""/>
      <w:lvlJc w:val="left"/>
      <w:pPr>
        <w:ind w:left="3327" w:hanging="360"/>
      </w:pPr>
      <w:rPr>
        <w:rFonts w:ascii="Wingdings" w:hAnsi="Wingdings" w:hint="default"/>
      </w:rPr>
    </w:lvl>
    <w:lvl w:ilvl="3" w:tplc="040C0001" w:tentative="1">
      <w:start w:val="1"/>
      <w:numFmt w:val="bullet"/>
      <w:lvlText w:val=""/>
      <w:lvlJc w:val="left"/>
      <w:pPr>
        <w:ind w:left="4047" w:hanging="360"/>
      </w:pPr>
      <w:rPr>
        <w:rFonts w:ascii="Symbol" w:hAnsi="Symbol" w:hint="default"/>
      </w:rPr>
    </w:lvl>
    <w:lvl w:ilvl="4" w:tplc="040C0003" w:tentative="1">
      <w:start w:val="1"/>
      <w:numFmt w:val="bullet"/>
      <w:lvlText w:val="o"/>
      <w:lvlJc w:val="left"/>
      <w:pPr>
        <w:ind w:left="4767" w:hanging="360"/>
      </w:pPr>
      <w:rPr>
        <w:rFonts w:ascii="Courier New" w:hAnsi="Courier New" w:cs="Courier New" w:hint="default"/>
      </w:rPr>
    </w:lvl>
    <w:lvl w:ilvl="5" w:tplc="040C0005" w:tentative="1">
      <w:start w:val="1"/>
      <w:numFmt w:val="bullet"/>
      <w:lvlText w:val=""/>
      <w:lvlJc w:val="left"/>
      <w:pPr>
        <w:ind w:left="5487" w:hanging="360"/>
      </w:pPr>
      <w:rPr>
        <w:rFonts w:ascii="Wingdings" w:hAnsi="Wingdings" w:hint="default"/>
      </w:rPr>
    </w:lvl>
    <w:lvl w:ilvl="6" w:tplc="040C0001" w:tentative="1">
      <w:start w:val="1"/>
      <w:numFmt w:val="bullet"/>
      <w:lvlText w:val=""/>
      <w:lvlJc w:val="left"/>
      <w:pPr>
        <w:ind w:left="6207" w:hanging="360"/>
      </w:pPr>
      <w:rPr>
        <w:rFonts w:ascii="Symbol" w:hAnsi="Symbol" w:hint="default"/>
      </w:rPr>
    </w:lvl>
    <w:lvl w:ilvl="7" w:tplc="040C0003" w:tentative="1">
      <w:start w:val="1"/>
      <w:numFmt w:val="bullet"/>
      <w:lvlText w:val="o"/>
      <w:lvlJc w:val="left"/>
      <w:pPr>
        <w:ind w:left="6927" w:hanging="360"/>
      </w:pPr>
      <w:rPr>
        <w:rFonts w:ascii="Courier New" w:hAnsi="Courier New" w:cs="Courier New" w:hint="default"/>
      </w:rPr>
    </w:lvl>
    <w:lvl w:ilvl="8" w:tplc="040C0005" w:tentative="1">
      <w:start w:val="1"/>
      <w:numFmt w:val="bullet"/>
      <w:lvlText w:val=""/>
      <w:lvlJc w:val="left"/>
      <w:pPr>
        <w:ind w:left="7647" w:hanging="360"/>
      </w:pPr>
      <w:rPr>
        <w:rFonts w:ascii="Wingdings" w:hAnsi="Wingdings" w:hint="default"/>
      </w:rPr>
    </w:lvl>
  </w:abstractNum>
  <w:abstractNum w:abstractNumId="2" w15:restartNumberingAfterBreak="0">
    <w:nsid w:val="04D627BB"/>
    <w:multiLevelType w:val="hybridMultilevel"/>
    <w:tmpl w:val="F77A8B5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051C2C36"/>
    <w:multiLevelType w:val="hybridMultilevel"/>
    <w:tmpl w:val="89E6D800"/>
    <w:lvl w:ilvl="0" w:tplc="040C0005">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4" w15:restartNumberingAfterBreak="0">
    <w:nsid w:val="069668C5"/>
    <w:multiLevelType w:val="hybridMultilevel"/>
    <w:tmpl w:val="0720A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4F779B"/>
    <w:multiLevelType w:val="hybridMultilevel"/>
    <w:tmpl w:val="3F228B78"/>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DD563A0"/>
    <w:multiLevelType w:val="hybridMultilevel"/>
    <w:tmpl w:val="69741A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686AC1"/>
    <w:multiLevelType w:val="hybridMultilevel"/>
    <w:tmpl w:val="8D00AD96"/>
    <w:lvl w:ilvl="0" w:tplc="EE8022B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010B41"/>
    <w:multiLevelType w:val="hybridMultilevel"/>
    <w:tmpl w:val="F3941F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3308D0"/>
    <w:multiLevelType w:val="hybridMultilevel"/>
    <w:tmpl w:val="B2D8BCF8"/>
    <w:lvl w:ilvl="0" w:tplc="3E5E1D7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9475BAA"/>
    <w:multiLevelType w:val="hybridMultilevel"/>
    <w:tmpl w:val="96EC5F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96F7780"/>
    <w:multiLevelType w:val="hybridMultilevel"/>
    <w:tmpl w:val="27F0AE8A"/>
    <w:lvl w:ilvl="0" w:tplc="63B6C48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245F19CD"/>
    <w:multiLevelType w:val="hybridMultilevel"/>
    <w:tmpl w:val="A8BA7AFA"/>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25C40ED7"/>
    <w:multiLevelType w:val="hybridMultilevel"/>
    <w:tmpl w:val="E698FE40"/>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4" w15:restartNumberingAfterBreak="0">
    <w:nsid w:val="263A3107"/>
    <w:multiLevelType w:val="hybridMultilevel"/>
    <w:tmpl w:val="7D8E12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A0570B"/>
    <w:multiLevelType w:val="hybridMultilevel"/>
    <w:tmpl w:val="5ABE81E6"/>
    <w:lvl w:ilvl="0" w:tplc="4B52DAD2">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345546"/>
    <w:multiLevelType w:val="hybridMultilevel"/>
    <w:tmpl w:val="56BE489C"/>
    <w:lvl w:ilvl="0" w:tplc="040C0001">
      <w:start w:val="1"/>
      <w:numFmt w:val="bullet"/>
      <w:lvlText w:val=""/>
      <w:lvlJc w:val="left"/>
      <w:pPr>
        <w:ind w:left="2910" w:hanging="360"/>
      </w:pPr>
      <w:rPr>
        <w:rFonts w:ascii="Symbol" w:hAnsi="Symbol" w:hint="default"/>
      </w:rPr>
    </w:lvl>
    <w:lvl w:ilvl="1" w:tplc="040C0003" w:tentative="1">
      <w:start w:val="1"/>
      <w:numFmt w:val="bullet"/>
      <w:lvlText w:val="o"/>
      <w:lvlJc w:val="left"/>
      <w:pPr>
        <w:ind w:left="3630" w:hanging="360"/>
      </w:pPr>
      <w:rPr>
        <w:rFonts w:ascii="Courier New" w:hAnsi="Courier New" w:cs="Courier New" w:hint="default"/>
      </w:rPr>
    </w:lvl>
    <w:lvl w:ilvl="2" w:tplc="040C0005" w:tentative="1">
      <w:start w:val="1"/>
      <w:numFmt w:val="bullet"/>
      <w:lvlText w:val=""/>
      <w:lvlJc w:val="left"/>
      <w:pPr>
        <w:ind w:left="4350" w:hanging="360"/>
      </w:pPr>
      <w:rPr>
        <w:rFonts w:ascii="Wingdings" w:hAnsi="Wingdings" w:hint="default"/>
      </w:rPr>
    </w:lvl>
    <w:lvl w:ilvl="3" w:tplc="040C0001" w:tentative="1">
      <w:start w:val="1"/>
      <w:numFmt w:val="bullet"/>
      <w:lvlText w:val=""/>
      <w:lvlJc w:val="left"/>
      <w:pPr>
        <w:ind w:left="5070" w:hanging="360"/>
      </w:pPr>
      <w:rPr>
        <w:rFonts w:ascii="Symbol" w:hAnsi="Symbol" w:hint="default"/>
      </w:rPr>
    </w:lvl>
    <w:lvl w:ilvl="4" w:tplc="040C0003" w:tentative="1">
      <w:start w:val="1"/>
      <w:numFmt w:val="bullet"/>
      <w:lvlText w:val="o"/>
      <w:lvlJc w:val="left"/>
      <w:pPr>
        <w:ind w:left="5790" w:hanging="360"/>
      </w:pPr>
      <w:rPr>
        <w:rFonts w:ascii="Courier New" w:hAnsi="Courier New" w:cs="Courier New" w:hint="default"/>
      </w:rPr>
    </w:lvl>
    <w:lvl w:ilvl="5" w:tplc="040C0005" w:tentative="1">
      <w:start w:val="1"/>
      <w:numFmt w:val="bullet"/>
      <w:lvlText w:val=""/>
      <w:lvlJc w:val="left"/>
      <w:pPr>
        <w:ind w:left="6510" w:hanging="360"/>
      </w:pPr>
      <w:rPr>
        <w:rFonts w:ascii="Wingdings" w:hAnsi="Wingdings" w:hint="default"/>
      </w:rPr>
    </w:lvl>
    <w:lvl w:ilvl="6" w:tplc="040C0001" w:tentative="1">
      <w:start w:val="1"/>
      <w:numFmt w:val="bullet"/>
      <w:lvlText w:val=""/>
      <w:lvlJc w:val="left"/>
      <w:pPr>
        <w:ind w:left="7230" w:hanging="360"/>
      </w:pPr>
      <w:rPr>
        <w:rFonts w:ascii="Symbol" w:hAnsi="Symbol" w:hint="default"/>
      </w:rPr>
    </w:lvl>
    <w:lvl w:ilvl="7" w:tplc="040C0003" w:tentative="1">
      <w:start w:val="1"/>
      <w:numFmt w:val="bullet"/>
      <w:lvlText w:val="o"/>
      <w:lvlJc w:val="left"/>
      <w:pPr>
        <w:ind w:left="7950" w:hanging="360"/>
      </w:pPr>
      <w:rPr>
        <w:rFonts w:ascii="Courier New" w:hAnsi="Courier New" w:cs="Courier New" w:hint="default"/>
      </w:rPr>
    </w:lvl>
    <w:lvl w:ilvl="8" w:tplc="040C0005" w:tentative="1">
      <w:start w:val="1"/>
      <w:numFmt w:val="bullet"/>
      <w:lvlText w:val=""/>
      <w:lvlJc w:val="left"/>
      <w:pPr>
        <w:ind w:left="8670" w:hanging="360"/>
      </w:pPr>
      <w:rPr>
        <w:rFonts w:ascii="Wingdings" w:hAnsi="Wingdings" w:hint="default"/>
      </w:rPr>
    </w:lvl>
  </w:abstractNum>
  <w:abstractNum w:abstractNumId="17" w15:restartNumberingAfterBreak="0">
    <w:nsid w:val="2C6C63D0"/>
    <w:multiLevelType w:val="hybridMultilevel"/>
    <w:tmpl w:val="46F6A782"/>
    <w:lvl w:ilvl="0" w:tplc="32180806">
      <w:start w:val="1"/>
      <w:numFmt w:val="upperRoman"/>
      <w:lvlText w:val="%1-"/>
      <w:lvlJc w:val="left"/>
      <w:pPr>
        <w:ind w:left="1080" w:hanging="720"/>
      </w:pPr>
      <w:rPr>
        <w:rFonts w:eastAsia="Times New Roman" w:hint="default"/>
        <w:b w:val="0"/>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0072D7D"/>
    <w:multiLevelType w:val="hybridMultilevel"/>
    <w:tmpl w:val="027E0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FC54FE"/>
    <w:multiLevelType w:val="hybridMultilevel"/>
    <w:tmpl w:val="B574B27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27372B"/>
    <w:multiLevelType w:val="hybridMultilevel"/>
    <w:tmpl w:val="461C1F70"/>
    <w:lvl w:ilvl="0" w:tplc="040C0007">
      <w:start w:val="1"/>
      <w:numFmt w:val="bullet"/>
      <w:lvlText w:val=""/>
      <w:lvlPicBulletId w:val="0"/>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1" w15:restartNumberingAfterBreak="0">
    <w:nsid w:val="3E0C1813"/>
    <w:multiLevelType w:val="hybridMultilevel"/>
    <w:tmpl w:val="E47AC150"/>
    <w:lvl w:ilvl="0" w:tplc="040C000B">
      <w:start w:val="1"/>
      <w:numFmt w:val="bullet"/>
      <w:lvlText w:val=""/>
      <w:lvlJc w:val="left"/>
      <w:pPr>
        <w:ind w:left="2190" w:hanging="360"/>
      </w:pPr>
      <w:rPr>
        <w:rFonts w:ascii="Wingdings" w:hAnsi="Wingdings"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22" w15:restartNumberingAfterBreak="0">
    <w:nsid w:val="3EF171F3"/>
    <w:multiLevelType w:val="hybridMultilevel"/>
    <w:tmpl w:val="27B6CD7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3" w15:restartNumberingAfterBreak="0">
    <w:nsid w:val="3FD476AD"/>
    <w:multiLevelType w:val="hybridMultilevel"/>
    <w:tmpl w:val="BC0C97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1506135"/>
    <w:multiLevelType w:val="hybridMultilevel"/>
    <w:tmpl w:val="126284F2"/>
    <w:lvl w:ilvl="0" w:tplc="AEB28F04">
      <w:numFmt w:val="bullet"/>
      <w:lvlText w:val="-"/>
      <w:lvlJc w:val="left"/>
      <w:pPr>
        <w:ind w:left="1080" w:hanging="360"/>
      </w:pPr>
      <w:rPr>
        <w:rFonts w:ascii="Times New Roman" w:eastAsiaTheme="minorHAnsi" w:hAnsi="Times New Roman" w:cs="Times New Roman" w:hint="default"/>
        <w:b/>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239476D"/>
    <w:multiLevelType w:val="hybridMultilevel"/>
    <w:tmpl w:val="7BD638D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145E8B"/>
    <w:multiLevelType w:val="hybridMultilevel"/>
    <w:tmpl w:val="77F808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1A6F78"/>
    <w:multiLevelType w:val="hybridMultilevel"/>
    <w:tmpl w:val="440CE578"/>
    <w:lvl w:ilvl="0" w:tplc="912827D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8BA46F6"/>
    <w:multiLevelType w:val="hybridMultilevel"/>
    <w:tmpl w:val="16E809F0"/>
    <w:lvl w:ilvl="0" w:tplc="3C948844">
      <w:start w:val="1"/>
      <w:numFmt w:val="upp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9" w15:restartNumberingAfterBreak="0">
    <w:nsid w:val="48E83405"/>
    <w:multiLevelType w:val="hybridMultilevel"/>
    <w:tmpl w:val="A00EC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0F6547"/>
    <w:multiLevelType w:val="hybridMultilevel"/>
    <w:tmpl w:val="D5CEC2B6"/>
    <w:lvl w:ilvl="0" w:tplc="9E4C5C6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2152B2D"/>
    <w:multiLevelType w:val="hybridMultilevel"/>
    <w:tmpl w:val="43AA4F40"/>
    <w:lvl w:ilvl="0" w:tplc="040C0007">
      <w:start w:val="1"/>
      <w:numFmt w:val="bullet"/>
      <w:lvlText w:val=""/>
      <w:lvlPicBulletId w:val="0"/>
      <w:lvlJc w:val="left"/>
      <w:pPr>
        <w:ind w:left="1470" w:hanging="360"/>
      </w:pPr>
      <w:rPr>
        <w:rFonts w:ascii="Symbol" w:hAnsi="Symbol"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32" w15:restartNumberingAfterBreak="0">
    <w:nsid w:val="52AD1057"/>
    <w:multiLevelType w:val="hybridMultilevel"/>
    <w:tmpl w:val="288CE244"/>
    <w:lvl w:ilvl="0" w:tplc="2A7AD1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3758DB"/>
    <w:multiLevelType w:val="hybridMultilevel"/>
    <w:tmpl w:val="5E0EC0C4"/>
    <w:lvl w:ilvl="0" w:tplc="040C0007">
      <w:start w:val="1"/>
      <w:numFmt w:val="bullet"/>
      <w:lvlText w:val=""/>
      <w:lvlPicBulletId w:val="0"/>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4" w15:restartNumberingAfterBreak="0">
    <w:nsid w:val="5FF743DA"/>
    <w:multiLevelType w:val="hybridMultilevel"/>
    <w:tmpl w:val="E530EA44"/>
    <w:lvl w:ilvl="0" w:tplc="17044386">
      <w:start w:val="10"/>
      <w:numFmt w:val="bullet"/>
      <w:lvlText w:val="-"/>
      <w:lvlJc w:val="left"/>
      <w:pPr>
        <w:ind w:left="1440" w:hanging="360"/>
      </w:pPr>
      <w:rPr>
        <w:rFonts w:ascii="Times New Roman" w:eastAsiaTheme="minorHAnsi" w:hAnsi="Times New Roman" w:cs="Times New Roman"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1704CC6"/>
    <w:multiLevelType w:val="hybridMultilevel"/>
    <w:tmpl w:val="3438A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A02D70"/>
    <w:multiLevelType w:val="hybridMultilevel"/>
    <w:tmpl w:val="EEFCFB20"/>
    <w:lvl w:ilvl="0" w:tplc="BB845302">
      <w:start w:val="2"/>
      <w:numFmt w:val="bullet"/>
      <w:lvlText w:val="-"/>
      <w:lvlJc w:val="left"/>
      <w:pPr>
        <w:ind w:left="720" w:hanging="360"/>
      </w:pPr>
      <w:rPr>
        <w:rFonts w:ascii="Times New Roman" w:eastAsiaTheme="minorHAnsi" w:hAnsi="Times New Roman" w:cs="Times New Roman"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AC4841"/>
    <w:multiLevelType w:val="hybridMultilevel"/>
    <w:tmpl w:val="5FD60BF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8" w15:restartNumberingAfterBreak="0">
    <w:nsid w:val="6CDE4E80"/>
    <w:multiLevelType w:val="hybridMultilevel"/>
    <w:tmpl w:val="8DF8CA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6F5E30D9"/>
    <w:multiLevelType w:val="hybridMultilevel"/>
    <w:tmpl w:val="3D2C2C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ED0D17"/>
    <w:multiLevelType w:val="hybridMultilevel"/>
    <w:tmpl w:val="579A17C0"/>
    <w:lvl w:ilvl="0" w:tplc="594AD7F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4D15234"/>
    <w:multiLevelType w:val="hybridMultilevel"/>
    <w:tmpl w:val="BC106B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7AF567EC"/>
    <w:multiLevelType w:val="hybridMultilevel"/>
    <w:tmpl w:val="EFC892C4"/>
    <w:lvl w:ilvl="0" w:tplc="5C129D3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B6828D4"/>
    <w:multiLevelType w:val="hybridMultilevel"/>
    <w:tmpl w:val="6AB8A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B27B6E"/>
    <w:multiLevelType w:val="hybridMultilevel"/>
    <w:tmpl w:val="DA2EC8E0"/>
    <w:lvl w:ilvl="0" w:tplc="040C0001">
      <w:start w:val="1"/>
      <w:numFmt w:val="bullet"/>
      <w:lvlText w:val=""/>
      <w:lvlJc w:val="left"/>
      <w:pPr>
        <w:ind w:left="1558" w:hanging="360"/>
      </w:pPr>
      <w:rPr>
        <w:rFonts w:ascii="Symbol" w:hAnsi="Symbol" w:hint="default"/>
      </w:rPr>
    </w:lvl>
    <w:lvl w:ilvl="1" w:tplc="040C0003" w:tentative="1">
      <w:start w:val="1"/>
      <w:numFmt w:val="bullet"/>
      <w:lvlText w:val="o"/>
      <w:lvlJc w:val="left"/>
      <w:pPr>
        <w:ind w:left="2278" w:hanging="360"/>
      </w:pPr>
      <w:rPr>
        <w:rFonts w:ascii="Courier New" w:hAnsi="Courier New" w:cs="Courier New" w:hint="default"/>
      </w:rPr>
    </w:lvl>
    <w:lvl w:ilvl="2" w:tplc="040C0005" w:tentative="1">
      <w:start w:val="1"/>
      <w:numFmt w:val="bullet"/>
      <w:lvlText w:val=""/>
      <w:lvlJc w:val="left"/>
      <w:pPr>
        <w:ind w:left="2998" w:hanging="360"/>
      </w:pPr>
      <w:rPr>
        <w:rFonts w:ascii="Wingdings" w:hAnsi="Wingdings" w:hint="default"/>
      </w:rPr>
    </w:lvl>
    <w:lvl w:ilvl="3" w:tplc="040C0001" w:tentative="1">
      <w:start w:val="1"/>
      <w:numFmt w:val="bullet"/>
      <w:lvlText w:val=""/>
      <w:lvlJc w:val="left"/>
      <w:pPr>
        <w:ind w:left="3718" w:hanging="360"/>
      </w:pPr>
      <w:rPr>
        <w:rFonts w:ascii="Symbol" w:hAnsi="Symbol" w:hint="default"/>
      </w:rPr>
    </w:lvl>
    <w:lvl w:ilvl="4" w:tplc="040C0003" w:tentative="1">
      <w:start w:val="1"/>
      <w:numFmt w:val="bullet"/>
      <w:lvlText w:val="o"/>
      <w:lvlJc w:val="left"/>
      <w:pPr>
        <w:ind w:left="4438" w:hanging="360"/>
      </w:pPr>
      <w:rPr>
        <w:rFonts w:ascii="Courier New" w:hAnsi="Courier New" w:cs="Courier New" w:hint="default"/>
      </w:rPr>
    </w:lvl>
    <w:lvl w:ilvl="5" w:tplc="040C0005" w:tentative="1">
      <w:start w:val="1"/>
      <w:numFmt w:val="bullet"/>
      <w:lvlText w:val=""/>
      <w:lvlJc w:val="left"/>
      <w:pPr>
        <w:ind w:left="5158" w:hanging="360"/>
      </w:pPr>
      <w:rPr>
        <w:rFonts w:ascii="Wingdings" w:hAnsi="Wingdings" w:hint="default"/>
      </w:rPr>
    </w:lvl>
    <w:lvl w:ilvl="6" w:tplc="040C0001" w:tentative="1">
      <w:start w:val="1"/>
      <w:numFmt w:val="bullet"/>
      <w:lvlText w:val=""/>
      <w:lvlJc w:val="left"/>
      <w:pPr>
        <w:ind w:left="5878" w:hanging="360"/>
      </w:pPr>
      <w:rPr>
        <w:rFonts w:ascii="Symbol" w:hAnsi="Symbol" w:hint="default"/>
      </w:rPr>
    </w:lvl>
    <w:lvl w:ilvl="7" w:tplc="040C0003" w:tentative="1">
      <w:start w:val="1"/>
      <w:numFmt w:val="bullet"/>
      <w:lvlText w:val="o"/>
      <w:lvlJc w:val="left"/>
      <w:pPr>
        <w:ind w:left="6598" w:hanging="360"/>
      </w:pPr>
      <w:rPr>
        <w:rFonts w:ascii="Courier New" w:hAnsi="Courier New" w:cs="Courier New" w:hint="default"/>
      </w:rPr>
    </w:lvl>
    <w:lvl w:ilvl="8" w:tplc="040C0005" w:tentative="1">
      <w:start w:val="1"/>
      <w:numFmt w:val="bullet"/>
      <w:lvlText w:val=""/>
      <w:lvlJc w:val="left"/>
      <w:pPr>
        <w:ind w:left="7318" w:hanging="360"/>
      </w:pPr>
      <w:rPr>
        <w:rFonts w:ascii="Wingdings" w:hAnsi="Wingdings" w:hint="default"/>
      </w:rPr>
    </w:lvl>
  </w:abstractNum>
  <w:abstractNum w:abstractNumId="45" w15:restartNumberingAfterBreak="0">
    <w:nsid w:val="7F2C067E"/>
    <w:multiLevelType w:val="hybridMultilevel"/>
    <w:tmpl w:val="073CDD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5"/>
  </w:num>
  <w:num w:numId="2">
    <w:abstractNumId w:val="33"/>
  </w:num>
  <w:num w:numId="3">
    <w:abstractNumId w:val="34"/>
  </w:num>
  <w:num w:numId="4">
    <w:abstractNumId w:val="37"/>
  </w:num>
  <w:num w:numId="5">
    <w:abstractNumId w:val="24"/>
  </w:num>
  <w:num w:numId="6">
    <w:abstractNumId w:val="1"/>
  </w:num>
  <w:num w:numId="7">
    <w:abstractNumId w:val="36"/>
  </w:num>
  <w:num w:numId="8">
    <w:abstractNumId w:val="5"/>
  </w:num>
  <w:num w:numId="9">
    <w:abstractNumId w:val="13"/>
  </w:num>
  <w:num w:numId="10">
    <w:abstractNumId w:val="31"/>
  </w:num>
  <w:num w:numId="11">
    <w:abstractNumId w:val="21"/>
  </w:num>
  <w:num w:numId="12">
    <w:abstractNumId w:val="16"/>
  </w:num>
  <w:num w:numId="13">
    <w:abstractNumId w:val="44"/>
  </w:num>
  <w:num w:numId="14">
    <w:abstractNumId w:val="3"/>
  </w:num>
  <w:num w:numId="15">
    <w:abstractNumId w:val="39"/>
  </w:num>
  <w:num w:numId="16">
    <w:abstractNumId w:val="14"/>
  </w:num>
  <w:num w:numId="17">
    <w:abstractNumId w:val="20"/>
  </w:num>
  <w:num w:numId="18">
    <w:abstractNumId w:val="41"/>
  </w:num>
  <w:num w:numId="19">
    <w:abstractNumId w:val="25"/>
  </w:num>
  <w:num w:numId="20">
    <w:abstractNumId w:val="22"/>
  </w:num>
  <w:num w:numId="21">
    <w:abstractNumId w:val="17"/>
  </w:num>
  <w:num w:numId="22">
    <w:abstractNumId w:val="11"/>
  </w:num>
  <w:num w:numId="23">
    <w:abstractNumId w:val="12"/>
  </w:num>
  <w:num w:numId="24">
    <w:abstractNumId w:val="4"/>
  </w:num>
  <w:num w:numId="25">
    <w:abstractNumId w:val="35"/>
  </w:num>
  <w:num w:numId="26">
    <w:abstractNumId w:val="18"/>
  </w:num>
  <w:num w:numId="27">
    <w:abstractNumId w:val="29"/>
  </w:num>
  <w:num w:numId="28">
    <w:abstractNumId w:val="26"/>
  </w:num>
  <w:num w:numId="29">
    <w:abstractNumId w:val="6"/>
  </w:num>
  <w:num w:numId="30">
    <w:abstractNumId w:val="10"/>
  </w:num>
  <w:num w:numId="31">
    <w:abstractNumId w:val="38"/>
  </w:num>
  <w:num w:numId="32">
    <w:abstractNumId w:val="27"/>
  </w:num>
  <w:num w:numId="33">
    <w:abstractNumId w:val="32"/>
  </w:num>
  <w:num w:numId="34">
    <w:abstractNumId w:val="0"/>
  </w:num>
  <w:num w:numId="35">
    <w:abstractNumId w:val="9"/>
  </w:num>
  <w:num w:numId="36">
    <w:abstractNumId w:val="7"/>
  </w:num>
  <w:num w:numId="37">
    <w:abstractNumId w:val="42"/>
  </w:num>
  <w:num w:numId="38">
    <w:abstractNumId w:val="19"/>
  </w:num>
  <w:num w:numId="39">
    <w:abstractNumId w:val="8"/>
  </w:num>
  <w:num w:numId="40">
    <w:abstractNumId w:val="2"/>
  </w:num>
  <w:num w:numId="41">
    <w:abstractNumId w:val="43"/>
  </w:num>
  <w:num w:numId="42">
    <w:abstractNumId w:val="15"/>
  </w:num>
  <w:num w:numId="43">
    <w:abstractNumId w:val="30"/>
  </w:num>
  <w:num w:numId="44">
    <w:abstractNumId w:val="23"/>
  </w:num>
  <w:num w:numId="45">
    <w:abstractNumId w:val="28"/>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2AE2"/>
    <w:rsid w:val="00020B43"/>
    <w:rsid w:val="0003050A"/>
    <w:rsid w:val="00065303"/>
    <w:rsid w:val="00082C0B"/>
    <w:rsid w:val="000A33F2"/>
    <w:rsid w:val="000E2A97"/>
    <w:rsid w:val="0010211D"/>
    <w:rsid w:val="00125046"/>
    <w:rsid w:val="00131E4A"/>
    <w:rsid w:val="00133F3D"/>
    <w:rsid w:val="0015323C"/>
    <w:rsid w:val="0016447D"/>
    <w:rsid w:val="001A58D2"/>
    <w:rsid w:val="001B3B8F"/>
    <w:rsid w:val="001C557B"/>
    <w:rsid w:val="001C6E7C"/>
    <w:rsid w:val="001C7FDF"/>
    <w:rsid w:val="001D31DD"/>
    <w:rsid w:val="001E1B72"/>
    <w:rsid w:val="001E4D46"/>
    <w:rsid w:val="001E4E06"/>
    <w:rsid w:val="001E5084"/>
    <w:rsid w:val="00220340"/>
    <w:rsid w:val="0023073D"/>
    <w:rsid w:val="002571AE"/>
    <w:rsid w:val="0029438C"/>
    <w:rsid w:val="00295659"/>
    <w:rsid w:val="00296A3F"/>
    <w:rsid w:val="002A2F40"/>
    <w:rsid w:val="002A4479"/>
    <w:rsid w:val="002A7633"/>
    <w:rsid w:val="002C5FA3"/>
    <w:rsid w:val="002D4813"/>
    <w:rsid w:val="00317EFD"/>
    <w:rsid w:val="0034540D"/>
    <w:rsid w:val="003574B8"/>
    <w:rsid w:val="00387413"/>
    <w:rsid w:val="00395893"/>
    <w:rsid w:val="003A59FC"/>
    <w:rsid w:val="003E75EB"/>
    <w:rsid w:val="003F4454"/>
    <w:rsid w:val="003F7A12"/>
    <w:rsid w:val="00411E90"/>
    <w:rsid w:val="0041432C"/>
    <w:rsid w:val="00424914"/>
    <w:rsid w:val="00435CFA"/>
    <w:rsid w:val="00442F39"/>
    <w:rsid w:val="004612ED"/>
    <w:rsid w:val="0046216D"/>
    <w:rsid w:val="004641A5"/>
    <w:rsid w:val="004649F8"/>
    <w:rsid w:val="00482C07"/>
    <w:rsid w:val="00494148"/>
    <w:rsid w:val="004959CC"/>
    <w:rsid w:val="004A22EE"/>
    <w:rsid w:val="004C5A58"/>
    <w:rsid w:val="004D38F3"/>
    <w:rsid w:val="004D6F97"/>
    <w:rsid w:val="004E3E9C"/>
    <w:rsid w:val="004E4367"/>
    <w:rsid w:val="00506E61"/>
    <w:rsid w:val="00513463"/>
    <w:rsid w:val="005432B9"/>
    <w:rsid w:val="005639CD"/>
    <w:rsid w:val="00567E11"/>
    <w:rsid w:val="0058236B"/>
    <w:rsid w:val="00587920"/>
    <w:rsid w:val="005934A6"/>
    <w:rsid w:val="005B1C9B"/>
    <w:rsid w:val="005B411B"/>
    <w:rsid w:val="005E2366"/>
    <w:rsid w:val="00607622"/>
    <w:rsid w:val="00610E39"/>
    <w:rsid w:val="006304FC"/>
    <w:rsid w:val="0063687D"/>
    <w:rsid w:val="0064129C"/>
    <w:rsid w:val="00673D85"/>
    <w:rsid w:val="0067655F"/>
    <w:rsid w:val="0068010B"/>
    <w:rsid w:val="006A01AE"/>
    <w:rsid w:val="006B744B"/>
    <w:rsid w:val="006C0B63"/>
    <w:rsid w:val="006C4466"/>
    <w:rsid w:val="006D5F72"/>
    <w:rsid w:val="006E1E2A"/>
    <w:rsid w:val="006F5CD1"/>
    <w:rsid w:val="007012F2"/>
    <w:rsid w:val="00705BA5"/>
    <w:rsid w:val="007822B1"/>
    <w:rsid w:val="00785034"/>
    <w:rsid w:val="00793CD4"/>
    <w:rsid w:val="00794526"/>
    <w:rsid w:val="0079743C"/>
    <w:rsid w:val="007A20E8"/>
    <w:rsid w:val="007B1C25"/>
    <w:rsid w:val="007C59F4"/>
    <w:rsid w:val="007C7DFC"/>
    <w:rsid w:val="007D40D3"/>
    <w:rsid w:val="007E0132"/>
    <w:rsid w:val="007F249C"/>
    <w:rsid w:val="00804BA6"/>
    <w:rsid w:val="00821C76"/>
    <w:rsid w:val="008326A7"/>
    <w:rsid w:val="00853AE4"/>
    <w:rsid w:val="00861990"/>
    <w:rsid w:val="008B4B01"/>
    <w:rsid w:val="008B7C33"/>
    <w:rsid w:val="008C3F19"/>
    <w:rsid w:val="008D7406"/>
    <w:rsid w:val="008D7C66"/>
    <w:rsid w:val="008E7BDA"/>
    <w:rsid w:val="008F3409"/>
    <w:rsid w:val="009059DB"/>
    <w:rsid w:val="00905A82"/>
    <w:rsid w:val="00920762"/>
    <w:rsid w:val="009213A2"/>
    <w:rsid w:val="00960A15"/>
    <w:rsid w:val="0097646D"/>
    <w:rsid w:val="00981B5D"/>
    <w:rsid w:val="009A05E5"/>
    <w:rsid w:val="009A2B08"/>
    <w:rsid w:val="00A009D4"/>
    <w:rsid w:val="00A01EA3"/>
    <w:rsid w:val="00A1773F"/>
    <w:rsid w:val="00A24B59"/>
    <w:rsid w:val="00A27D58"/>
    <w:rsid w:val="00A329A5"/>
    <w:rsid w:val="00A36150"/>
    <w:rsid w:val="00A56B04"/>
    <w:rsid w:val="00A57F69"/>
    <w:rsid w:val="00AA4BFB"/>
    <w:rsid w:val="00AC22AD"/>
    <w:rsid w:val="00AF6094"/>
    <w:rsid w:val="00AF68C0"/>
    <w:rsid w:val="00B26A48"/>
    <w:rsid w:val="00B2743A"/>
    <w:rsid w:val="00B60C63"/>
    <w:rsid w:val="00B6102D"/>
    <w:rsid w:val="00B73845"/>
    <w:rsid w:val="00B77716"/>
    <w:rsid w:val="00B939F4"/>
    <w:rsid w:val="00B96473"/>
    <w:rsid w:val="00BD2B46"/>
    <w:rsid w:val="00BF18B7"/>
    <w:rsid w:val="00BF6084"/>
    <w:rsid w:val="00C013CF"/>
    <w:rsid w:val="00C05A5E"/>
    <w:rsid w:val="00C1436A"/>
    <w:rsid w:val="00C50251"/>
    <w:rsid w:val="00C74A05"/>
    <w:rsid w:val="00CA67F6"/>
    <w:rsid w:val="00CB5B4A"/>
    <w:rsid w:val="00CD64B2"/>
    <w:rsid w:val="00CF2688"/>
    <w:rsid w:val="00D02209"/>
    <w:rsid w:val="00D02C83"/>
    <w:rsid w:val="00D035B0"/>
    <w:rsid w:val="00D22DC0"/>
    <w:rsid w:val="00D25BB9"/>
    <w:rsid w:val="00D405F2"/>
    <w:rsid w:val="00D53C06"/>
    <w:rsid w:val="00D55C46"/>
    <w:rsid w:val="00D822A9"/>
    <w:rsid w:val="00DA2AE2"/>
    <w:rsid w:val="00DA77DD"/>
    <w:rsid w:val="00DB76CB"/>
    <w:rsid w:val="00DC38A8"/>
    <w:rsid w:val="00DD47C2"/>
    <w:rsid w:val="00DD7F84"/>
    <w:rsid w:val="00E333B8"/>
    <w:rsid w:val="00E467C3"/>
    <w:rsid w:val="00E5083E"/>
    <w:rsid w:val="00E54F58"/>
    <w:rsid w:val="00E61487"/>
    <w:rsid w:val="00E80AFB"/>
    <w:rsid w:val="00E82207"/>
    <w:rsid w:val="00E82BB3"/>
    <w:rsid w:val="00EA4753"/>
    <w:rsid w:val="00EC1198"/>
    <w:rsid w:val="00EE2792"/>
    <w:rsid w:val="00F01102"/>
    <w:rsid w:val="00F01F88"/>
    <w:rsid w:val="00F171C8"/>
    <w:rsid w:val="00F261F4"/>
    <w:rsid w:val="00F302E1"/>
    <w:rsid w:val="00F408B8"/>
    <w:rsid w:val="00F83659"/>
    <w:rsid w:val="00F872A8"/>
    <w:rsid w:val="00FB3172"/>
    <w:rsid w:val="00FC1CDA"/>
    <w:rsid w:val="00FC57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688F0E1D"/>
  <w15:docId w15:val="{403D03A9-88AD-4A64-81E7-285DDF42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AE2"/>
  </w:style>
  <w:style w:type="paragraph" w:styleId="Titre1">
    <w:name w:val="heading 1"/>
    <w:basedOn w:val="Normal"/>
    <w:link w:val="Titre1Car"/>
    <w:uiPriority w:val="1"/>
    <w:qFormat/>
    <w:rsid w:val="00C50251"/>
    <w:pPr>
      <w:widowControl w:val="0"/>
      <w:autoSpaceDE w:val="0"/>
      <w:autoSpaceDN w:val="0"/>
      <w:spacing w:after="0" w:line="240" w:lineRule="auto"/>
      <w:ind w:right="53"/>
      <w:jc w:val="center"/>
      <w:outlineLvl w:val="0"/>
    </w:pPr>
    <w:rPr>
      <w:rFonts w:ascii="Times New Roman" w:eastAsia="Times New Roman" w:hAnsi="Times New Roman" w:cs="Times New Roman"/>
      <w:b/>
      <w:bCs/>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2AE2"/>
    <w:pPr>
      <w:ind w:left="720"/>
      <w:contextualSpacing/>
    </w:pPr>
  </w:style>
  <w:style w:type="paragraph" w:styleId="Notedebasdepage">
    <w:name w:val="footnote text"/>
    <w:basedOn w:val="Normal"/>
    <w:link w:val="NotedebasdepageCar"/>
    <w:uiPriority w:val="99"/>
    <w:semiHidden/>
    <w:unhideWhenUsed/>
    <w:rsid w:val="00DA2A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2AE2"/>
    <w:rPr>
      <w:sz w:val="20"/>
      <w:szCs w:val="20"/>
    </w:rPr>
  </w:style>
  <w:style w:type="character" w:styleId="Appelnotedebasdep">
    <w:name w:val="footnote reference"/>
    <w:basedOn w:val="Policepardfaut"/>
    <w:uiPriority w:val="99"/>
    <w:semiHidden/>
    <w:unhideWhenUsed/>
    <w:rsid w:val="00DA2AE2"/>
    <w:rPr>
      <w:vertAlign w:val="superscript"/>
    </w:rPr>
  </w:style>
  <w:style w:type="character" w:styleId="lev">
    <w:name w:val="Strong"/>
    <w:basedOn w:val="Policepardfaut"/>
    <w:uiPriority w:val="22"/>
    <w:qFormat/>
    <w:rsid w:val="00DA2AE2"/>
    <w:rPr>
      <w:b/>
      <w:bCs/>
    </w:rPr>
  </w:style>
  <w:style w:type="paragraph" w:customStyle="1" w:styleId="Default">
    <w:name w:val="Default"/>
    <w:rsid w:val="00DA2AE2"/>
    <w:pPr>
      <w:autoSpaceDE w:val="0"/>
      <w:autoSpaceDN w:val="0"/>
      <w:adjustRightInd w:val="0"/>
      <w:spacing w:after="0" w:line="240" w:lineRule="auto"/>
    </w:pPr>
    <w:rPr>
      <w:rFonts w:ascii="ITC Avant Garde Std Cn" w:hAnsi="ITC Avant Garde Std Cn" w:cs="ITC Avant Garde Std Cn"/>
      <w:color w:val="000000"/>
      <w:sz w:val="24"/>
      <w:szCs w:val="24"/>
    </w:rPr>
  </w:style>
  <w:style w:type="character" w:styleId="Accentuation">
    <w:name w:val="Emphasis"/>
    <w:basedOn w:val="Policepardfaut"/>
    <w:uiPriority w:val="20"/>
    <w:qFormat/>
    <w:rsid w:val="001E5084"/>
    <w:rPr>
      <w:i/>
      <w:iCs/>
    </w:rPr>
  </w:style>
  <w:style w:type="character" w:customStyle="1" w:styleId="Titre1Car">
    <w:name w:val="Titre 1 Car"/>
    <w:basedOn w:val="Policepardfaut"/>
    <w:link w:val="Titre1"/>
    <w:uiPriority w:val="1"/>
    <w:rsid w:val="00C50251"/>
    <w:rPr>
      <w:rFonts w:ascii="Times New Roman" w:eastAsia="Times New Roman" w:hAnsi="Times New Roman" w:cs="Times New Roman"/>
      <w:b/>
      <w:bCs/>
      <w:sz w:val="40"/>
      <w:szCs w:val="40"/>
    </w:rPr>
  </w:style>
  <w:style w:type="paragraph" w:styleId="Corpsdetexte">
    <w:name w:val="Body Text"/>
    <w:basedOn w:val="Normal"/>
    <w:link w:val="CorpsdetexteCar"/>
    <w:uiPriority w:val="1"/>
    <w:qFormat/>
    <w:rsid w:val="00C50251"/>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sdetexteCar">
    <w:name w:val="Corps de texte Car"/>
    <w:basedOn w:val="Policepardfaut"/>
    <w:link w:val="Corpsdetexte"/>
    <w:uiPriority w:val="1"/>
    <w:rsid w:val="00C5025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1383F-62C3-4309-AC12-A8EB1D6E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19431</Words>
  <Characters>106872</Characters>
  <Application>Microsoft Office Word</Application>
  <DocSecurity>0</DocSecurity>
  <Lines>890</Lines>
  <Paragraphs>252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La transaction </vt:lpstr>
    </vt:vector>
  </TitlesOfParts>
  <Company/>
  <LinksUpToDate>false</LinksUpToDate>
  <CharactersWithSpaces>126051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babacar</dc:creator>
  <cp:lastModifiedBy>DELL</cp:lastModifiedBy>
  <cp:revision>3</cp:revision>
  <dcterms:created xsi:type="dcterms:W3CDTF">2023-04-20T01:48:00Z</dcterms:created>
  <dcterms:modified xsi:type="dcterms:W3CDTF">2025-10-22T12:06:00Z</dcterms:modified>
</cp:coreProperties>
</file>