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85D" w:rsidRDefault="0036385D" w:rsidP="0098524B">
      <w:pPr>
        <w:spacing w:line="360" w:lineRule="auto"/>
        <w:jc w:val="both"/>
        <w:rPr>
          <w:rFonts w:ascii="Times New Roman" w:hAnsi="Times New Roman" w:cs="Times New Roman"/>
          <w:b/>
          <w:bCs/>
          <w:sz w:val="24"/>
          <w:szCs w:val="24"/>
        </w:rPr>
      </w:pPr>
    </w:p>
    <w:p w:rsidR="002E41CA" w:rsidRDefault="002E41CA" w:rsidP="002E41CA">
      <w:pPr>
        <w:spacing w:line="240" w:lineRule="auto"/>
        <w:jc w:val="center"/>
        <w:rPr>
          <w:rFonts w:ascii="Times New Roman" w:hAnsi="Times New Roman" w:cs="Times New Roman"/>
          <w:b/>
          <w:sz w:val="24"/>
          <w:szCs w:val="28"/>
        </w:rPr>
      </w:pPr>
      <w:r>
        <w:rPr>
          <w:rFonts w:ascii="Times New Roman" w:hAnsi="Times New Roman" w:cs="Times New Roman"/>
          <w:noProof/>
          <w:sz w:val="24"/>
          <w:szCs w:val="28"/>
        </w:rPr>
        <w:drawing>
          <wp:anchor distT="0" distB="0" distL="114300" distR="114300" simplePos="0" relativeHeight="251660288" behindDoc="0" locked="0" layoutInCell="1" allowOverlap="1" wp14:anchorId="6508F328" wp14:editId="23654210">
            <wp:simplePos x="0" y="0"/>
            <wp:positionH relativeFrom="margin">
              <wp:posOffset>4385945</wp:posOffset>
            </wp:positionH>
            <wp:positionV relativeFrom="margin">
              <wp:posOffset>-33020</wp:posOffset>
            </wp:positionV>
            <wp:extent cx="1676400" cy="1000125"/>
            <wp:effectExtent l="19050" t="0" r="0" b="0"/>
            <wp:wrapSquare wrapText="bothSides"/>
            <wp:docPr id="5" name="Image 5" descr="C:\Users\NDIACK\Desktop\C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DIACK\Desktop\CFJ.jpg"/>
                    <pic:cNvPicPr>
                      <a:picLocks noChangeAspect="1" noChangeArrowheads="1"/>
                    </pic:cNvPicPr>
                  </pic:nvPicPr>
                  <pic:blipFill>
                    <a:blip r:embed="rId8"/>
                    <a:srcRect/>
                    <a:stretch>
                      <a:fillRect/>
                    </a:stretch>
                  </pic:blipFill>
                  <pic:spPr bwMode="auto">
                    <a:xfrm>
                      <a:off x="0" y="0"/>
                      <a:ext cx="1676400" cy="1000125"/>
                    </a:xfrm>
                    <a:prstGeom prst="rect">
                      <a:avLst/>
                    </a:prstGeom>
                    <a:noFill/>
                    <a:ln w="9525">
                      <a:noFill/>
                      <a:miter lim="800000"/>
                      <a:headEnd/>
                      <a:tailEnd/>
                    </a:ln>
                  </pic:spPr>
                </pic:pic>
              </a:graphicData>
            </a:graphic>
          </wp:anchor>
        </w:drawing>
      </w:r>
      <w:r>
        <w:rPr>
          <w:rFonts w:ascii="Times New Roman" w:hAnsi="Times New Roman" w:cs="Times New Roman"/>
          <w:noProof/>
          <w:sz w:val="24"/>
          <w:szCs w:val="28"/>
        </w:rPr>
        <w:drawing>
          <wp:anchor distT="0" distB="0" distL="114300" distR="114300" simplePos="0" relativeHeight="251659264" behindDoc="0" locked="0" layoutInCell="1" allowOverlap="1" wp14:anchorId="7EA4354D" wp14:editId="7C9DD4D6">
            <wp:simplePos x="0" y="0"/>
            <wp:positionH relativeFrom="margin">
              <wp:posOffset>-109855</wp:posOffset>
            </wp:positionH>
            <wp:positionV relativeFrom="margin">
              <wp:posOffset>43180</wp:posOffset>
            </wp:positionV>
            <wp:extent cx="1409700" cy="866775"/>
            <wp:effectExtent l="19050" t="0" r="0" b="0"/>
            <wp:wrapSquare wrapText="bothSides"/>
            <wp:docPr id="4" name="Image 4" descr="C:\Users\NDIACK\Desktop\senegal-26914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DIACK\Desktop\senegal-26914__340.png"/>
                    <pic:cNvPicPr>
                      <a:picLocks noChangeAspect="1" noChangeArrowheads="1"/>
                    </pic:cNvPicPr>
                  </pic:nvPicPr>
                  <pic:blipFill>
                    <a:blip r:embed="rId9" cstate="print"/>
                    <a:srcRect/>
                    <a:stretch>
                      <a:fillRect/>
                    </a:stretch>
                  </pic:blipFill>
                  <pic:spPr bwMode="auto">
                    <a:xfrm>
                      <a:off x="0" y="0"/>
                      <a:ext cx="1409700" cy="866775"/>
                    </a:xfrm>
                    <a:prstGeom prst="rect">
                      <a:avLst/>
                    </a:prstGeom>
                    <a:noFill/>
                    <a:ln w="9525">
                      <a:noFill/>
                      <a:miter lim="800000"/>
                      <a:headEnd/>
                      <a:tailEnd/>
                    </a:ln>
                  </pic:spPr>
                </pic:pic>
              </a:graphicData>
            </a:graphic>
          </wp:anchor>
        </w:drawing>
      </w:r>
      <w:r w:rsidRPr="003836E8">
        <w:rPr>
          <w:rFonts w:ascii="Times New Roman" w:hAnsi="Times New Roman" w:cs="Times New Roman"/>
          <w:b/>
          <w:sz w:val="24"/>
          <w:szCs w:val="28"/>
        </w:rPr>
        <w:t>REPUBLIQUE DU SENEGA</w:t>
      </w:r>
      <w:r>
        <w:rPr>
          <w:rFonts w:ascii="Times New Roman" w:hAnsi="Times New Roman" w:cs="Times New Roman"/>
          <w:b/>
          <w:sz w:val="24"/>
          <w:szCs w:val="28"/>
        </w:rPr>
        <w:t>L</w:t>
      </w:r>
    </w:p>
    <w:p w:rsidR="002E41CA" w:rsidRDefault="002E41CA" w:rsidP="002E41CA">
      <w:pPr>
        <w:spacing w:line="240" w:lineRule="auto"/>
        <w:jc w:val="center"/>
        <w:rPr>
          <w:rFonts w:ascii="Times New Roman" w:hAnsi="Times New Roman" w:cs="Times New Roman"/>
          <w:b/>
          <w:sz w:val="24"/>
          <w:szCs w:val="28"/>
        </w:rPr>
      </w:pPr>
      <w:r>
        <w:rPr>
          <w:rFonts w:ascii="Times New Roman" w:hAnsi="Times New Roman" w:cs="Times New Roman"/>
          <w:b/>
          <w:sz w:val="24"/>
          <w:szCs w:val="28"/>
        </w:rPr>
        <w:t>**********</w:t>
      </w:r>
    </w:p>
    <w:p w:rsidR="002E41CA" w:rsidRDefault="002E41CA" w:rsidP="002E41CA">
      <w:pPr>
        <w:spacing w:line="240" w:lineRule="auto"/>
        <w:jc w:val="center"/>
        <w:rPr>
          <w:rFonts w:ascii="Times New Roman" w:hAnsi="Times New Roman" w:cs="Times New Roman"/>
          <w:b/>
          <w:sz w:val="18"/>
          <w:szCs w:val="28"/>
        </w:rPr>
      </w:pPr>
      <w:r w:rsidRPr="003836E8">
        <w:rPr>
          <w:rFonts w:ascii="Times New Roman" w:hAnsi="Times New Roman" w:cs="Times New Roman"/>
          <w:b/>
          <w:sz w:val="18"/>
          <w:szCs w:val="28"/>
        </w:rPr>
        <w:t>Un Peuple-Un But-Une Foi</w:t>
      </w:r>
    </w:p>
    <w:p w:rsidR="002E41CA" w:rsidRPr="003836E8" w:rsidRDefault="002E41CA" w:rsidP="002E41CA">
      <w:pPr>
        <w:spacing w:line="240" w:lineRule="auto"/>
        <w:jc w:val="center"/>
        <w:rPr>
          <w:rFonts w:ascii="Times New Roman" w:hAnsi="Times New Roman" w:cs="Times New Roman"/>
          <w:b/>
          <w:sz w:val="24"/>
          <w:szCs w:val="28"/>
        </w:rPr>
      </w:pPr>
      <w:r>
        <w:rPr>
          <w:rFonts w:ascii="Times New Roman" w:hAnsi="Times New Roman" w:cs="Times New Roman"/>
          <w:b/>
          <w:sz w:val="18"/>
          <w:szCs w:val="28"/>
        </w:rPr>
        <w:t>****************</w:t>
      </w:r>
    </w:p>
    <w:p w:rsidR="002E41CA" w:rsidRDefault="002E41CA" w:rsidP="002E41CA">
      <w:pPr>
        <w:spacing w:line="240" w:lineRule="auto"/>
        <w:jc w:val="center"/>
        <w:rPr>
          <w:rFonts w:ascii="Times New Roman" w:hAnsi="Times New Roman" w:cs="Times New Roman"/>
          <w:b/>
          <w:sz w:val="20"/>
          <w:szCs w:val="28"/>
        </w:rPr>
      </w:pPr>
      <w:r w:rsidRPr="003836E8">
        <w:rPr>
          <w:rFonts w:ascii="Times New Roman" w:hAnsi="Times New Roman" w:cs="Times New Roman"/>
          <w:b/>
          <w:sz w:val="20"/>
          <w:szCs w:val="28"/>
        </w:rPr>
        <w:t>MINISTERE DE LA JUSTICE</w:t>
      </w:r>
    </w:p>
    <w:p w:rsidR="002E41CA" w:rsidRPr="003836E8" w:rsidRDefault="002E41CA" w:rsidP="002E41CA">
      <w:pPr>
        <w:spacing w:line="240" w:lineRule="auto"/>
        <w:jc w:val="center"/>
        <w:rPr>
          <w:rFonts w:ascii="Times New Roman" w:hAnsi="Times New Roman" w:cs="Times New Roman"/>
          <w:b/>
          <w:sz w:val="20"/>
          <w:szCs w:val="28"/>
        </w:rPr>
      </w:pPr>
      <w:r>
        <w:rPr>
          <w:rFonts w:ascii="Times New Roman" w:hAnsi="Times New Roman" w:cs="Times New Roman"/>
          <w:b/>
          <w:sz w:val="20"/>
          <w:szCs w:val="28"/>
        </w:rPr>
        <w:t>****************</w:t>
      </w:r>
    </w:p>
    <w:p w:rsidR="002E41CA" w:rsidRPr="003836E8" w:rsidRDefault="002E41CA" w:rsidP="002E41CA">
      <w:pPr>
        <w:spacing w:line="360" w:lineRule="auto"/>
        <w:jc w:val="center"/>
        <w:rPr>
          <w:rFonts w:ascii="Times New Roman" w:hAnsi="Times New Roman" w:cs="Times New Roman"/>
          <w:b/>
          <w:sz w:val="20"/>
          <w:szCs w:val="28"/>
        </w:rPr>
      </w:pPr>
      <w:r w:rsidRPr="003836E8">
        <w:rPr>
          <w:rFonts w:ascii="Times New Roman" w:hAnsi="Times New Roman" w:cs="Times New Roman"/>
          <w:b/>
          <w:sz w:val="20"/>
          <w:szCs w:val="28"/>
        </w:rPr>
        <w:t>CENTRE DE FORMATION JUDICIAIRE</w:t>
      </w:r>
    </w:p>
    <w:p w:rsidR="002E41CA" w:rsidRPr="002E41CA" w:rsidRDefault="002E41CA" w:rsidP="002E41CA">
      <w:pPr>
        <w:spacing w:line="360" w:lineRule="auto"/>
        <w:jc w:val="center"/>
        <w:rPr>
          <w:rFonts w:ascii="Times New Roman" w:hAnsi="Times New Roman" w:cs="Times New Roman"/>
          <w:b/>
          <w:sz w:val="20"/>
          <w:szCs w:val="28"/>
        </w:rPr>
      </w:pPr>
      <w:r>
        <w:rPr>
          <w:rFonts w:ascii="Times New Roman" w:hAnsi="Times New Roman" w:cs="Times New Roman"/>
          <w:b/>
          <w:sz w:val="20"/>
          <w:szCs w:val="28"/>
        </w:rPr>
        <w:t xml:space="preserve"> </w:t>
      </w:r>
      <w:r w:rsidRPr="003836E8">
        <w:rPr>
          <w:rFonts w:ascii="Times New Roman" w:hAnsi="Times New Roman" w:cs="Times New Roman"/>
          <w:b/>
          <w:sz w:val="20"/>
          <w:szCs w:val="28"/>
        </w:rPr>
        <w:t>UNE ECOLE AU SERVICE DU DEVELOPPEMENT</w:t>
      </w:r>
    </w:p>
    <w:p w:rsidR="002E41CA" w:rsidRPr="00AF3EB4" w:rsidRDefault="002E41CA" w:rsidP="002E41CA">
      <w:pPr>
        <w:spacing w:line="360" w:lineRule="auto"/>
        <w:jc w:val="center"/>
        <w:rPr>
          <w:rFonts w:ascii="Times New Roman" w:hAnsi="Times New Roman" w:cs="Times New Roman"/>
          <w:b/>
          <w:sz w:val="28"/>
          <w:szCs w:val="28"/>
        </w:rPr>
      </w:pPr>
      <w:r w:rsidRPr="00AF3EB4">
        <w:rPr>
          <w:rFonts w:ascii="Times New Roman" w:hAnsi="Times New Roman" w:cs="Times New Roman"/>
          <w:b/>
          <w:sz w:val="28"/>
          <w:szCs w:val="24"/>
        </w:rPr>
        <w:t>TRAVAUX DE FIN DE FORMATION</w:t>
      </w:r>
    </w:p>
    <w:p w:rsidR="002E41CA" w:rsidRDefault="002E41CA" w:rsidP="002E41CA">
      <w:pPr>
        <w:spacing w:line="360" w:lineRule="auto"/>
        <w:rPr>
          <w:rFonts w:ascii="Times New Roman" w:hAnsi="Times New Roman" w:cs="Times New Roman"/>
          <w:sz w:val="24"/>
          <w:szCs w:val="24"/>
        </w:rPr>
      </w:pPr>
    </w:p>
    <w:p w:rsidR="002E41CA" w:rsidRPr="00E477A0" w:rsidRDefault="002E41CA" w:rsidP="002E41CA">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594995</wp:posOffset>
                </wp:positionH>
                <wp:positionV relativeFrom="paragraph">
                  <wp:posOffset>215265</wp:posOffset>
                </wp:positionV>
                <wp:extent cx="4667250" cy="914400"/>
                <wp:effectExtent l="13970" t="81915" r="81280" b="13335"/>
                <wp:wrapNone/>
                <wp:docPr id="2"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9144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2E41CA" w:rsidRDefault="002E41CA" w:rsidP="002E41CA">
                            <w:pPr>
                              <w:jc w:val="center"/>
                              <w:rPr>
                                <w:rFonts w:ascii="Times New Roman" w:hAnsi="Times New Roman" w:cs="Times New Roman"/>
                                <w:b/>
                              </w:rPr>
                            </w:pPr>
                          </w:p>
                          <w:p w:rsidR="002E41CA" w:rsidRPr="00AF3EB4" w:rsidRDefault="002E41CA" w:rsidP="00B444BF">
                            <w:pPr>
                              <w:jc w:val="center"/>
                              <w:rPr>
                                <w:rFonts w:ascii="Times New Roman" w:hAnsi="Times New Roman" w:cs="Times New Roman"/>
                                <w:b/>
                                <w:sz w:val="24"/>
                              </w:rPr>
                            </w:pPr>
                            <w:r w:rsidRPr="00AF3EB4">
                              <w:rPr>
                                <w:rFonts w:ascii="Times New Roman" w:hAnsi="Times New Roman" w:cs="Times New Roman"/>
                                <w:b/>
                                <w:sz w:val="24"/>
                              </w:rPr>
                              <w:t xml:space="preserve">ANNOTATION DES ARTICLES </w:t>
                            </w:r>
                            <w:r w:rsidR="00B444BF">
                              <w:rPr>
                                <w:rFonts w:ascii="Times New Roman" w:hAnsi="Times New Roman" w:cs="Times New Roman"/>
                                <w:b/>
                                <w:sz w:val="24"/>
                              </w:rPr>
                              <w:t>45</w:t>
                            </w:r>
                            <w:r w:rsidRPr="00AF3EB4">
                              <w:rPr>
                                <w:rFonts w:ascii="Times New Roman" w:hAnsi="Times New Roman" w:cs="Times New Roman"/>
                                <w:b/>
                                <w:sz w:val="24"/>
                              </w:rPr>
                              <w:t xml:space="preserve"> À </w:t>
                            </w:r>
                            <w:r w:rsidR="00B444BF">
                              <w:rPr>
                                <w:rFonts w:ascii="Times New Roman" w:hAnsi="Times New Roman" w:cs="Times New Roman"/>
                                <w:b/>
                                <w:sz w:val="24"/>
                              </w:rPr>
                              <w:t>71</w:t>
                            </w:r>
                            <w:r w:rsidRPr="00AF3EB4">
                              <w:rPr>
                                <w:rFonts w:ascii="Times New Roman" w:hAnsi="Times New Roman" w:cs="Times New Roman"/>
                                <w:b/>
                                <w:sz w:val="24"/>
                              </w:rPr>
                              <w:t xml:space="preserve"> DU CODE PENAL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 o:spid="_x0000_s1026" style="position:absolute;margin-left:46.85pt;margin-top:16.95pt;width:36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">
                <v:shadow on="t" opacity=".5" offset="6pt,-6pt"/>
                <v:textbox>
                  <w:txbxContent>
                    <w:p w:rsidR="002E41CA" w:rsidRDefault="002E41CA" w:rsidP="002E41CA">
                      <w:pPr>
                        <w:jc w:val="center"/>
                        <w:rPr>
                          <w:rFonts w:ascii="Times New Roman" w:hAnsi="Times New Roman" w:cs="Times New Roman"/>
                          <w:b/>
                        </w:rPr>
                      </w:pPr>
                    </w:p>
                    <w:p w:rsidR="002E41CA" w:rsidRPr="00AF3EB4" w:rsidRDefault="002E41CA" w:rsidP="00B444BF">
                      <w:pPr>
                        <w:jc w:val="center"/>
                        <w:rPr>
                          <w:rFonts w:ascii="Times New Roman" w:hAnsi="Times New Roman" w:cs="Times New Roman"/>
                          <w:b/>
                          <w:sz w:val="24"/>
                        </w:rPr>
                      </w:pPr>
                      <w:r w:rsidRPr="00AF3EB4">
                        <w:rPr>
                          <w:rFonts w:ascii="Times New Roman" w:hAnsi="Times New Roman" w:cs="Times New Roman"/>
                          <w:b/>
                          <w:sz w:val="24"/>
                        </w:rPr>
                        <w:t xml:space="preserve">ANNOTATION DES ARTICLES </w:t>
                      </w:r>
                      <w:r w:rsidR="00B444BF">
                        <w:rPr>
                          <w:rFonts w:ascii="Times New Roman" w:hAnsi="Times New Roman" w:cs="Times New Roman"/>
                          <w:b/>
                          <w:sz w:val="24"/>
                        </w:rPr>
                        <w:t>45</w:t>
                      </w:r>
                      <w:r w:rsidRPr="00AF3EB4">
                        <w:rPr>
                          <w:rFonts w:ascii="Times New Roman" w:hAnsi="Times New Roman" w:cs="Times New Roman"/>
                          <w:b/>
                          <w:sz w:val="24"/>
                        </w:rPr>
                        <w:t xml:space="preserve"> À </w:t>
                      </w:r>
                      <w:r w:rsidR="00B444BF">
                        <w:rPr>
                          <w:rFonts w:ascii="Times New Roman" w:hAnsi="Times New Roman" w:cs="Times New Roman"/>
                          <w:b/>
                          <w:sz w:val="24"/>
                        </w:rPr>
                        <w:t>71</w:t>
                      </w:r>
                      <w:r w:rsidRPr="00AF3EB4">
                        <w:rPr>
                          <w:rFonts w:ascii="Times New Roman" w:hAnsi="Times New Roman" w:cs="Times New Roman"/>
                          <w:b/>
                          <w:sz w:val="24"/>
                        </w:rPr>
                        <w:t xml:space="preserve"> DU CODE PENAL</w:t>
                      </w:r>
                    </w:p>
                  </w:txbxContent>
                </v:textbox>
              </v:roundrect>
            </w:pict>
          </mc:Fallback>
        </mc:AlternateContent>
      </w:r>
    </w:p>
    <w:p w:rsidR="002E41CA" w:rsidRPr="00E477A0" w:rsidRDefault="002E41CA" w:rsidP="002E41CA">
      <w:pPr>
        <w:spacing w:line="360" w:lineRule="auto"/>
        <w:jc w:val="center"/>
        <w:rPr>
          <w:rFonts w:ascii="Times New Roman" w:hAnsi="Times New Roman" w:cs="Times New Roman"/>
          <w:b/>
          <w:sz w:val="72"/>
          <w:szCs w:val="28"/>
          <w:u w:val="single"/>
        </w:rPr>
      </w:pPr>
    </w:p>
    <w:p w:rsidR="002E41CA" w:rsidRDefault="002E41CA" w:rsidP="002E41CA">
      <w:pPr>
        <w:spacing w:line="360" w:lineRule="auto"/>
        <w:jc w:val="center"/>
        <w:rPr>
          <w:rFonts w:ascii="Times New Roman" w:hAnsi="Times New Roman" w:cs="Times New Roman"/>
          <w:b/>
          <w:sz w:val="32"/>
          <w:szCs w:val="28"/>
        </w:rPr>
      </w:pPr>
    </w:p>
    <w:p w:rsidR="002E41CA" w:rsidRDefault="002E41CA" w:rsidP="002E41CA">
      <w:pPr>
        <w:spacing w:line="360" w:lineRule="auto"/>
        <w:jc w:val="center"/>
        <w:rPr>
          <w:rFonts w:ascii="Times New Roman" w:hAnsi="Times New Roman" w:cs="Times New Roman"/>
          <w:b/>
          <w:sz w:val="32"/>
          <w:szCs w:val="28"/>
        </w:rPr>
      </w:pPr>
    </w:p>
    <w:p w:rsidR="002E41CA" w:rsidRPr="006E1770" w:rsidRDefault="002E41CA" w:rsidP="002E41CA">
      <w:pPr>
        <w:spacing w:line="360" w:lineRule="auto"/>
        <w:jc w:val="center"/>
        <w:rPr>
          <w:rFonts w:ascii="Times New Roman" w:hAnsi="Times New Roman" w:cs="Times New Roman"/>
          <w:b/>
          <w:sz w:val="32"/>
          <w:szCs w:val="28"/>
        </w:rPr>
      </w:pPr>
      <w:r w:rsidRPr="006E1770">
        <w:rPr>
          <w:rFonts w:ascii="Times New Roman" w:hAnsi="Times New Roman" w:cs="Times New Roman"/>
          <w:b/>
          <w:sz w:val="32"/>
          <w:szCs w:val="28"/>
        </w:rPr>
        <w:t>Présenté par l’Auditeur de Justice</w:t>
      </w:r>
    </w:p>
    <w:p w:rsidR="002E41CA" w:rsidRDefault="002E41CA" w:rsidP="002E41CA">
      <w:pPr>
        <w:spacing w:line="360" w:lineRule="auto"/>
        <w:jc w:val="center"/>
        <w:rPr>
          <w:rFonts w:ascii="Times New Roman" w:hAnsi="Times New Roman" w:cs="Times New Roman"/>
          <w:b/>
          <w:sz w:val="32"/>
          <w:szCs w:val="28"/>
        </w:rPr>
      </w:pPr>
    </w:p>
    <w:p w:rsidR="002E41CA" w:rsidRDefault="002E41CA" w:rsidP="002E41CA">
      <w:pPr>
        <w:spacing w:line="240" w:lineRule="auto"/>
        <w:jc w:val="center"/>
        <w:rPr>
          <w:rFonts w:ascii="Times New Roman" w:hAnsi="Times New Roman" w:cs="Times New Roman"/>
          <w:b/>
          <w:sz w:val="32"/>
          <w:szCs w:val="28"/>
        </w:rPr>
      </w:pPr>
      <w:r>
        <w:rPr>
          <w:rFonts w:ascii="Times New Roman" w:hAnsi="Times New Roman" w:cs="Times New Roman"/>
          <w:b/>
          <w:sz w:val="32"/>
          <w:szCs w:val="28"/>
        </w:rPr>
        <w:t xml:space="preserve">Madiop DIAGNE </w:t>
      </w:r>
    </w:p>
    <w:p w:rsidR="002E41CA" w:rsidRDefault="002E41CA" w:rsidP="002E41CA">
      <w:pPr>
        <w:spacing w:line="240" w:lineRule="auto"/>
        <w:jc w:val="center"/>
        <w:rPr>
          <w:rFonts w:ascii="Times New Roman" w:hAnsi="Times New Roman" w:cs="Times New Roman"/>
          <w:b/>
          <w:sz w:val="32"/>
          <w:szCs w:val="28"/>
        </w:rPr>
      </w:pPr>
    </w:p>
    <w:p w:rsidR="002E41CA" w:rsidRPr="009C3408" w:rsidRDefault="002E41CA" w:rsidP="002E41CA">
      <w:pPr>
        <w:spacing w:line="240" w:lineRule="auto"/>
        <w:jc w:val="center"/>
        <w:rPr>
          <w:rFonts w:ascii="Times New Roman" w:hAnsi="Times New Roman" w:cs="Times New Roman"/>
          <w:b/>
          <w:sz w:val="28"/>
          <w:szCs w:val="28"/>
        </w:rPr>
      </w:pPr>
    </w:p>
    <w:p w:rsidR="002E41CA" w:rsidRDefault="002E41CA" w:rsidP="002E41CA">
      <w:pPr>
        <w:spacing w:line="240" w:lineRule="auto"/>
        <w:jc w:val="center"/>
        <w:rPr>
          <w:rFonts w:ascii="Times New Roman" w:hAnsi="Times New Roman" w:cs="Times New Roman"/>
          <w:b/>
          <w:sz w:val="28"/>
          <w:szCs w:val="28"/>
        </w:rPr>
      </w:pPr>
      <w:r w:rsidRPr="009C3408">
        <w:rPr>
          <w:rFonts w:ascii="Times New Roman" w:hAnsi="Times New Roman" w:cs="Times New Roman"/>
          <w:b/>
          <w:sz w:val="28"/>
          <w:szCs w:val="28"/>
        </w:rPr>
        <w:t>Section : Magistrature</w:t>
      </w:r>
    </w:p>
    <w:p w:rsidR="002E41CA" w:rsidRDefault="002E41CA" w:rsidP="002E41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36385D" w:rsidRDefault="002E41CA" w:rsidP="002E41CA">
      <w:pPr>
        <w:spacing w:line="360" w:lineRule="auto"/>
        <w:jc w:val="center"/>
        <w:rPr>
          <w:rFonts w:ascii="Times New Roman" w:hAnsi="Times New Roman" w:cs="Times New Roman"/>
          <w:b/>
          <w:bCs/>
          <w:sz w:val="24"/>
          <w:szCs w:val="24"/>
        </w:rPr>
      </w:pPr>
      <w:r w:rsidRPr="009C3408">
        <w:rPr>
          <w:rFonts w:ascii="Times New Roman" w:hAnsi="Times New Roman" w:cs="Times New Roman"/>
          <w:b/>
          <w:sz w:val="28"/>
          <w:szCs w:val="28"/>
        </w:rPr>
        <w:t>Promotion 2016-2018</w:t>
      </w:r>
    </w:p>
    <w:p w:rsidR="00802381" w:rsidRDefault="00802381" w:rsidP="0098524B">
      <w:pPr>
        <w:spacing w:line="360" w:lineRule="auto"/>
        <w:jc w:val="both"/>
        <w:rPr>
          <w:rFonts w:ascii="Times New Roman" w:hAnsi="Times New Roman" w:cs="Times New Roman"/>
          <w:b/>
          <w:bCs/>
          <w:sz w:val="24"/>
          <w:szCs w:val="24"/>
        </w:rPr>
        <w:sectPr w:rsidR="00802381" w:rsidSect="0080238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Borders w:display="firstPage"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pPr>
    </w:p>
    <w:p w:rsidR="00401B3D" w:rsidRPr="001156AD" w:rsidRDefault="00401B3D" w:rsidP="001156AD">
      <w:pPr>
        <w:pStyle w:val="Titre1"/>
        <w:rPr>
          <w:i w:val="0"/>
          <w:iCs/>
        </w:rPr>
      </w:pPr>
      <w:bookmarkStart w:id="0" w:name="_Toc521059382"/>
      <w:r w:rsidRPr="001156AD">
        <w:rPr>
          <w:i w:val="0"/>
          <w:iCs/>
        </w:rPr>
        <w:lastRenderedPageBreak/>
        <w:t>LIVRE DEUXIEME : DES PERSONNES PUNISSABLES, EXCUSABLES OU RESPONSABLES POUR CRIMES OU POUR DELITS</w:t>
      </w:r>
      <w:bookmarkEnd w:id="0"/>
    </w:p>
    <w:p w:rsidR="00401B3D" w:rsidRPr="00F93435" w:rsidRDefault="00401B3D"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45</w:t>
      </w:r>
    </w:p>
    <w:p w:rsidR="00401B3D" w:rsidRPr="002E2B1E" w:rsidRDefault="00401B3D" w:rsidP="00F244DE">
      <w:pPr>
        <w:pStyle w:val="Titre1"/>
      </w:pPr>
      <w:bookmarkStart w:id="1" w:name="_Toc521059383"/>
      <w:r w:rsidRPr="002E2B1E">
        <w:t>Les complices d'un crime ou d'un délit seront punis de la même peine que les auteurs même de ce crime ou de ce délit, sauf les cas où la loi en aurait disposé autrement.</w:t>
      </w:r>
      <w:bookmarkEnd w:id="1"/>
    </w:p>
    <w:p w:rsidR="00186500" w:rsidRPr="00031AAC" w:rsidRDefault="007918C7" w:rsidP="0098524B">
      <w:pPr>
        <w:pStyle w:val="Paragraphedeliste"/>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i/>
          <w:sz w:val="24"/>
          <w:szCs w:val="24"/>
        </w:rPr>
        <w:t>C’est à b</w:t>
      </w:r>
      <w:r w:rsidR="003D5F3C">
        <w:rPr>
          <w:rFonts w:ascii="Times New Roman" w:hAnsi="Times New Roman" w:cs="Times New Roman"/>
          <w:i/>
          <w:sz w:val="24"/>
          <w:szCs w:val="24"/>
        </w:rPr>
        <w:t xml:space="preserve">on droit qu’une Cour d’Appel </w:t>
      </w:r>
      <w:r>
        <w:rPr>
          <w:rFonts w:ascii="Times New Roman" w:hAnsi="Times New Roman" w:cs="Times New Roman"/>
          <w:i/>
          <w:sz w:val="24"/>
          <w:szCs w:val="24"/>
        </w:rPr>
        <w:t>a confirmé une décision de première instance ayant condamné un complice à une peine de</w:t>
      </w:r>
      <w:r w:rsidR="000D43E0">
        <w:rPr>
          <w:rFonts w:ascii="Times New Roman" w:hAnsi="Times New Roman" w:cs="Times New Roman"/>
          <w:i/>
          <w:sz w:val="24"/>
          <w:szCs w:val="24"/>
        </w:rPr>
        <w:t xml:space="preserve"> deux</w:t>
      </w:r>
      <w:r>
        <w:rPr>
          <w:rFonts w:ascii="Times New Roman" w:hAnsi="Times New Roman" w:cs="Times New Roman"/>
          <w:i/>
          <w:sz w:val="24"/>
          <w:szCs w:val="24"/>
        </w:rPr>
        <w:t xml:space="preserve"> </w:t>
      </w:r>
      <w:r w:rsidR="000D43E0">
        <w:rPr>
          <w:rFonts w:ascii="Times New Roman" w:hAnsi="Times New Roman" w:cs="Times New Roman"/>
          <w:i/>
          <w:sz w:val="24"/>
          <w:szCs w:val="24"/>
        </w:rPr>
        <w:t>(0</w:t>
      </w:r>
      <w:r>
        <w:rPr>
          <w:rFonts w:ascii="Times New Roman" w:hAnsi="Times New Roman" w:cs="Times New Roman"/>
          <w:i/>
          <w:sz w:val="24"/>
          <w:szCs w:val="24"/>
        </w:rPr>
        <w:t>2</w:t>
      </w:r>
      <w:r w:rsidR="000D43E0">
        <w:rPr>
          <w:rFonts w:ascii="Times New Roman" w:hAnsi="Times New Roman" w:cs="Times New Roman"/>
          <w:i/>
          <w:sz w:val="24"/>
          <w:szCs w:val="24"/>
        </w:rPr>
        <w:t>)</w:t>
      </w:r>
      <w:r>
        <w:rPr>
          <w:rFonts w:ascii="Times New Roman" w:hAnsi="Times New Roman" w:cs="Times New Roman"/>
          <w:i/>
          <w:sz w:val="24"/>
          <w:szCs w:val="24"/>
        </w:rPr>
        <w:t xml:space="preserve"> ans</w:t>
      </w:r>
      <w:r w:rsidR="000D43E0">
        <w:rPr>
          <w:rFonts w:ascii="Times New Roman" w:hAnsi="Times New Roman" w:cs="Times New Roman"/>
          <w:i/>
          <w:sz w:val="24"/>
          <w:szCs w:val="24"/>
        </w:rPr>
        <w:t xml:space="preserve"> d’emprisonnement dont six (06) mois </w:t>
      </w:r>
      <w:r>
        <w:rPr>
          <w:rFonts w:ascii="Times New Roman" w:hAnsi="Times New Roman" w:cs="Times New Roman"/>
          <w:i/>
          <w:sz w:val="24"/>
          <w:szCs w:val="24"/>
        </w:rPr>
        <w:t xml:space="preserve"> ferme</w:t>
      </w:r>
      <w:r w:rsidR="000D43E0">
        <w:rPr>
          <w:rFonts w:ascii="Times New Roman" w:hAnsi="Times New Roman" w:cs="Times New Roman"/>
          <w:i/>
          <w:sz w:val="24"/>
          <w:szCs w:val="24"/>
        </w:rPr>
        <w:t>s</w:t>
      </w:r>
      <w:r>
        <w:rPr>
          <w:rFonts w:ascii="Times New Roman" w:hAnsi="Times New Roman" w:cs="Times New Roman"/>
          <w:i/>
          <w:sz w:val="24"/>
          <w:szCs w:val="24"/>
        </w:rPr>
        <w:t xml:space="preserve"> tout comme l’auteur principa</w:t>
      </w:r>
      <w:r w:rsidR="000D43E0">
        <w:rPr>
          <w:rFonts w:ascii="Times New Roman" w:hAnsi="Times New Roman" w:cs="Times New Roman"/>
          <w:i/>
          <w:sz w:val="24"/>
          <w:szCs w:val="24"/>
        </w:rPr>
        <w:t xml:space="preserve">l pour </w:t>
      </w:r>
      <w:r w:rsidR="00186500">
        <w:rPr>
          <w:rFonts w:ascii="Times New Roman" w:hAnsi="Times New Roman" w:cs="Times New Roman"/>
          <w:i/>
          <w:sz w:val="24"/>
          <w:szCs w:val="24"/>
        </w:rPr>
        <w:t>vol simple et en complicité de ce chef pour le premier.</w:t>
      </w:r>
    </w:p>
    <w:p w:rsidR="00031AAC" w:rsidRDefault="00031AAC" w:rsidP="00F244DE">
      <w:pPr>
        <w:pStyle w:val="Titre1"/>
      </w:pPr>
      <w:bookmarkStart w:id="2" w:name="_Toc521059384"/>
      <w:r w:rsidRPr="00031AAC">
        <w:t>Cour d’Appel de Dakar, arrêt n° 232 du 19/02/ 2013,  Ministère Public et Mouhamed Said SOUL et Ibrahima DIALLO contre Ousmane DRAME et Boubacar SECK.</w:t>
      </w:r>
      <w:bookmarkEnd w:id="2"/>
    </w:p>
    <w:p w:rsidR="00553FCB" w:rsidRPr="008F0A0A" w:rsidRDefault="00031AAC" w:rsidP="0098524B">
      <w:pPr>
        <w:pStyle w:val="Paragraphedeliste"/>
        <w:numPr>
          <w:ilvl w:val="0"/>
          <w:numId w:val="1"/>
        </w:numPr>
        <w:spacing w:before="120" w:after="120" w:line="360" w:lineRule="auto"/>
        <w:jc w:val="both"/>
        <w:rPr>
          <w:rFonts w:ascii="Times New Roman" w:hAnsi="Times New Roman" w:cs="Times New Roman"/>
          <w:sz w:val="24"/>
          <w:szCs w:val="24"/>
        </w:rPr>
      </w:pPr>
      <w:r w:rsidRPr="008F0A0A">
        <w:rPr>
          <w:rFonts w:ascii="Times New Roman" w:hAnsi="Times New Roman" w:cs="Times New Roman"/>
          <w:i/>
          <w:sz w:val="24"/>
          <w:szCs w:val="24"/>
        </w:rPr>
        <w:t xml:space="preserve">C’est également à bon droit que la Cour d’Appel de Dakar a infirmé une décision du tribunal correctionnel de  Ziguinchor qui a relaxé au bénéfice du doute des prévenus poursuivis pour viol et </w:t>
      </w:r>
      <w:r w:rsidR="00B818DE" w:rsidRPr="008F0A0A">
        <w:rPr>
          <w:rFonts w:ascii="Times New Roman" w:hAnsi="Times New Roman" w:cs="Times New Roman"/>
          <w:i/>
          <w:sz w:val="24"/>
          <w:szCs w:val="24"/>
        </w:rPr>
        <w:t xml:space="preserve">a disqualifié les faits initialement retenus en attentat à la pudeur et en complicité de ce chef tout en condamnant l’auteur principal ainsi que son complice à deux (02) ans d’emprisonnement ferme. </w:t>
      </w:r>
      <w:r w:rsidRPr="008F0A0A">
        <w:rPr>
          <w:rFonts w:ascii="Times New Roman" w:hAnsi="Times New Roman" w:cs="Times New Roman"/>
          <w:i/>
          <w:sz w:val="24"/>
          <w:szCs w:val="24"/>
        </w:rPr>
        <w:t xml:space="preserve"> </w:t>
      </w:r>
    </w:p>
    <w:p w:rsidR="00553FCB" w:rsidRDefault="00553FCB" w:rsidP="00F244DE">
      <w:pPr>
        <w:pStyle w:val="Titre1"/>
      </w:pPr>
      <w:bookmarkStart w:id="3" w:name="_Toc521059385"/>
      <w:r w:rsidRPr="00BA5FAE">
        <w:t xml:space="preserve">Cour d’Appel de Dakar, arrêt n° </w:t>
      </w:r>
      <w:r>
        <w:t>124</w:t>
      </w:r>
      <w:r w:rsidRPr="00BA5FAE">
        <w:t xml:space="preserve"> du </w:t>
      </w:r>
      <w:r>
        <w:t>29/01</w:t>
      </w:r>
      <w:r w:rsidRPr="00BA5FAE">
        <w:t xml:space="preserve">/ 2013,  Ministère Public et </w:t>
      </w:r>
      <w:r>
        <w:t xml:space="preserve">Fatou dite Fama SAGNANE </w:t>
      </w:r>
      <w:r w:rsidRPr="00BA5FAE">
        <w:t>contre</w:t>
      </w:r>
      <w:r>
        <w:t xml:space="preserve"> Abdourahmane Yacine KONDE et Michel DIEDIOU</w:t>
      </w:r>
      <w:r w:rsidRPr="00BA5FAE">
        <w:t>.</w:t>
      </w:r>
      <w:bookmarkEnd w:id="3"/>
    </w:p>
    <w:p w:rsidR="00306FC9" w:rsidRPr="00306FC9" w:rsidRDefault="009B73C3" w:rsidP="0098524B">
      <w:pPr>
        <w:pStyle w:val="Paragraphedeliste"/>
        <w:numPr>
          <w:ilvl w:val="0"/>
          <w:numId w:val="1"/>
        </w:numPr>
        <w:spacing w:before="120" w:after="120" w:line="360" w:lineRule="auto"/>
        <w:jc w:val="both"/>
        <w:rPr>
          <w:rFonts w:ascii="Times New Roman" w:hAnsi="Times New Roman" w:cs="Times New Roman"/>
          <w:b/>
          <w:i/>
          <w:color w:val="000000" w:themeColor="text1"/>
          <w:sz w:val="24"/>
          <w:szCs w:val="24"/>
        </w:rPr>
      </w:pPr>
      <w:r>
        <w:rPr>
          <w:rFonts w:ascii="Times New Roman" w:hAnsi="Times New Roman" w:cs="Times New Roman"/>
          <w:i/>
          <w:sz w:val="24"/>
          <w:szCs w:val="24"/>
        </w:rPr>
        <w:t xml:space="preserve">C’est à bon droit qu’une Cour d’Appel a confirmé </w:t>
      </w:r>
      <w:r w:rsidR="00D76832">
        <w:rPr>
          <w:rFonts w:ascii="Times New Roman" w:hAnsi="Times New Roman" w:cs="Times New Roman"/>
          <w:i/>
          <w:sz w:val="24"/>
          <w:szCs w:val="24"/>
        </w:rPr>
        <w:t>une décision de première instance qui a condamné deux prévenus coupables de complicité d’escroquerie, chacun à trois mois d’</w:t>
      </w:r>
      <w:r w:rsidR="00306FC9">
        <w:rPr>
          <w:rFonts w:ascii="Times New Roman" w:hAnsi="Times New Roman" w:cs="Times New Roman"/>
          <w:i/>
          <w:sz w:val="24"/>
          <w:szCs w:val="24"/>
        </w:rPr>
        <w:t>emprisonnement ferme sur le fondement des articles 45 et 46 du code pénal.</w:t>
      </w:r>
    </w:p>
    <w:p w:rsidR="004B125D" w:rsidRPr="00306FC9" w:rsidRDefault="00D76832" w:rsidP="00F244DE">
      <w:pPr>
        <w:pStyle w:val="Titre1"/>
      </w:pPr>
      <w:r w:rsidRPr="00306FC9">
        <w:t xml:space="preserve"> </w:t>
      </w:r>
      <w:bookmarkStart w:id="4" w:name="_Toc521059386"/>
      <w:r w:rsidR="00306FC9" w:rsidRPr="00BA5FAE">
        <w:t xml:space="preserve">Cour d’Appel de Dakar, arrêt n° </w:t>
      </w:r>
      <w:r w:rsidR="00306FC9">
        <w:t>873</w:t>
      </w:r>
      <w:r w:rsidR="00306FC9" w:rsidRPr="00BA5FAE">
        <w:t xml:space="preserve"> du </w:t>
      </w:r>
      <w:r w:rsidR="00306FC9">
        <w:t>20/06</w:t>
      </w:r>
      <w:r w:rsidR="00306FC9" w:rsidRPr="00BA5FAE">
        <w:t>/ 201</w:t>
      </w:r>
      <w:r w:rsidR="00306FC9">
        <w:t>4</w:t>
      </w:r>
      <w:r w:rsidR="00306FC9" w:rsidRPr="00BA5FAE">
        <w:t xml:space="preserve">,  Ministère Public et </w:t>
      </w:r>
      <w:r w:rsidR="00306FC9">
        <w:t xml:space="preserve">Elimane DIAW </w:t>
      </w:r>
      <w:r w:rsidR="00306FC9" w:rsidRPr="00BA5FAE">
        <w:t>contre</w:t>
      </w:r>
      <w:r w:rsidR="00306FC9">
        <w:t xml:space="preserve"> Malick SOW  et Seny KA.</w:t>
      </w:r>
      <w:bookmarkEnd w:id="4"/>
    </w:p>
    <w:p w:rsidR="00553FCB" w:rsidRPr="00016C78" w:rsidRDefault="00553FCB" w:rsidP="0098524B">
      <w:pPr>
        <w:pStyle w:val="Paragraphedeliste"/>
        <w:numPr>
          <w:ilvl w:val="0"/>
          <w:numId w:val="1"/>
        </w:numPr>
        <w:spacing w:before="120" w:after="120" w:line="360" w:lineRule="auto"/>
        <w:jc w:val="both"/>
        <w:rPr>
          <w:rFonts w:ascii="Times New Roman" w:hAnsi="Times New Roman" w:cs="Times New Roman"/>
          <w:i/>
          <w:sz w:val="24"/>
          <w:szCs w:val="24"/>
        </w:rPr>
      </w:pPr>
      <w:r w:rsidRPr="00F67526">
        <w:rPr>
          <w:rFonts w:ascii="Times New Roman" w:hAnsi="Times New Roman" w:cs="Times New Roman"/>
          <w:i/>
          <w:sz w:val="24"/>
          <w:szCs w:val="24"/>
        </w:rPr>
        <w:t>A confirmé</w:t>
      </w:r>
      <w:r w:rsidR="00D83BB4">
        <w:rPr>
          <w:rFonts w:ascii="Times New Roman" w:hAnsi="Times New Roman" w:cs="Times New Roman"/>
          <w:i/>
          <w:sz w:val="24"/>
          <w:szCs w:val="24"/>
        </w:rPr>
        <w:t>,</w:t>
      </w:r>
      <w:r w:rsidRPr="00F67526">
        <w:rPr>
          <w:rFonts w:ascii="Times New Roman" w:hAnsi="Times New Roman" w:cs="Times New Roman"/>
          <w:i/>
          <w:sz w:val="24"/>
          <w:szCs w:val="24"/>
        </w:rPr>
        <w:t xml:space="preserve"> une Cour d’Appel, une décision de première instance ayant condamné à cinq (05) ans d’emprisonnement ferme un</w:t>
      </w:r>
      <w:r w:rsidR="00F67526">
        <w:rPr>
          <w:rFonts w:ascii="Times New Roman" w:hAnsi="Times New Roman" w:cs="Times New Roman"/>
          <w:i/>
          <w:sz w:val="24"/>
          <w:szCs w:val="24"/>
        </w:rPr>
        <w:t xml:space="preserve"> prévenu déclaré coupable de complicité</w:t>
      </w:r>
      <w:r w:rsidRPr="00F67526">
        <w:rPr>
          <w:rFonts w:ascii="Times New Roman" w:hAnsi="Times New Roman" w:cs="Times New Roman"/>
          <w:i/>
          <w:sz w:val="24"/>
          <w:szCs w:val="24"/>
        </w:rPr>
        <w:t xml:space="preserve"> au moti</w:t>
      </w:r>
      <w:r w:rsidR="00F67526">
        <w:rPr>
          <w:rFonts w:ascii="Times New Roman" w:hAnsi="Times New Roman" w:cs="Times New Roman"/>
          <w:i/>
          <w:sz w:val="24"/>
          <w:szCs w:val="24"/>
        </w:rPr>
        <w:t>f qu’il détient sur l’auteur principal</w:t>
      </w:r>
      <w:r w:rsidR="00482835">
        <w:rPr>
          <w:rFonts w:ascii="Times New Roman" w:hAnsi="Times New Roman" w:cs="Times New Roman"/>
          <w:i/>
          <w:sz w:val="24"/>
          <w:szCs w:val="24"/>
        </w:rPr>
        <w:t>(condamné à la même peine)</w:t>
      </w:r>
      <w:r w:rsidR="00F67526">
        <w:rPr>
          <w:rFonts w:ascii="Times New Roman" w:hAnsi="Times New Roman" w:cs="Times New Roman"/>
          <w:i/>
          <w:sz w:val="24"/>
          <w:szCs w:val="24"/>
        </w:rPr>
        <w:t xml:space="preserve"> qu’il a soutenu dans ses études primaires et universitaires, une autorité ou un pouvoir ascendant qu’il a usé pour lui enjoindre l’</w:t>
      </w:r>
      <w:r w:rsidR="00482835">
        <w:rPr>
          <w:rFonts w:ascii="Times New Roman" w:hAnsi="Times New Roman" w:cs="Times New Roman"/>
          <w:i/>
          <w:sz w:val="24"/>
          <w:szCs w:val="24"/>
        </w:rPr>
        <w:t xml:space="preserve">ordre de détourner les fonds, sachant </w:t>
      </w:r>
      <w:r w:rsidR="00F67526">
        <w:rPr>
          <w:rFonts w:ascii="Times New Roman" w:hAnsi="Times New Roman" w:cs="Times New Roman"/>
          <w:i/>
          <w:sz w:val="24"/>
          <w:szCs w:val="24"/>
        </w:rPr>
        <w:t xml:space="preserve"> </w:t>
      </w:r>
      <w:r w:rsidR="00482835">
        <w:rPr>
          <w:rFonts w:ascii="Times New Roman" w:hAnsi="Times New Roman" w:cs="Times New Roman"/>
          <w:i/>
          <w:sz w:val="24"/>
          <w:szCs w:val="24"/>
        </w:rPr>
        <w:t>comme il l’a reconnu qu’ils appartiennent à la Mutuelle d’épargne</w:t>
      </w:r>
      <w:r w:rsidR="00D83BB4">
        <w:rPr>
          <w:rFonts w:ascii="Times New Roman" w:hAnsi="Times New Roman" w:cs="Times New Roman"/>
          <w:i/>
          <w:sz w:val="24"/>
          <w:szCs w:val="24"/>
        </w:rPr>
        <w:t xml:space="preserve"> et de crédit de la municipalité de Dakar.</w:t>
      </w:r>
    </w:p>
    <w:p w:rsidR="00031AAC" w:rsidRPr="00BA5FAE" w:rsidRDefault="00BA5FAE" w:rsidP="00F244DE">
      <w:pPr>
        <w:pStyle w:val="Titre1"/>
      </w:pPr>
      <w:bookmarkStart w:id="5" w:name="_Toc521059387"/>
      <w:r w:rsidRPr="00BA5FAE">
        <w:lastRenderedPageBreak/>
        <w:t xml:space="preserve">Cour d’Appel de Dakar, arrêt n° </w:t>
      </w:r>
      <w:r w:rsidR="00016C78">
        <w:t>366</w:t>
      </w:r>
      <w:r w:rsidRPr="00BA5FAE">
        <w:t xml:space="preserve"> du </w:t>
      </w:r>
      <w:r w:rsidR="00016C78">
        <w:t>17</w:t>
      </w:r>
      <w:r>
        <w:t>/</w:t>
      </w:r>
      <w:r w:rsidR="00016C78">
        <w:t>03</w:t>
      </w:r>
      <w:r w:rsidRPr="00BA5FAE">
        <w:t>/ 201</w:t>
      </w:r>
      <w:r w:rsidR="00016C78">
        <w:t>5</w:t>
      </w:r>
      <w:r w:rsidRPr="00BA5FAE">
        <w:t xml:space="preserve">,  Ministère Public et </w:t>
      </w:r>
      <w:r w:rsidR="00016C78">
        <w:t xml:space="preserve">Crédit Mutuel de Dakar </w:t>
      </w:r>
      <w:r w:rsidRPr="00BA5FAE">
        <w:t>contre</w:t>
      </w:r>
      <w:r w:rsidR="00016C78">
        <w:t xml:space="preserve"> Hamady Moustapha NIANG et autres.</w:t>
      </w:r>
      <w:bookmarkEnd w:id="5"/>
    </w:p>
    <w:p w:rsidR="00401B3D" w:rsidRPr="00F93435" w:rsidRDefault="00401B3D"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46</w:t>
      </w:r>
    </w:p>
    <w:p w:rsidR="00401B3D" w:rsidRPr="002E2B1E" w:rsidRDefault="00401B3D" w:rsidP="0098524B">
      <w:pPr>
        <w:spacing w:line="360" w:lineRule="auto"/>
        <w:jc w:val="both"/>
        <w:rPr>
          <w:rFonts w:ascii="Times New Roman" w:hAnsi="Times New Roman" w:cs="Times New Roman"/>
          <w:b/>
          <w:sz w:val="24"/>
          <w:szCs w:val="24"/>
        </w:rPr>
      </w:pPr>
      <w:r w:rsidRPr="002E2B1E">
        <w:rPr>
          <w:rFonts w:ascii="Times New Roman" w:hAnsi="Times New Roman" w:cs="Times New Roman"/>
          <w:b/>
          <w:sz w:val="24"/>
          <w:szCs w:val="24"/>
        </w:rPr>
        <w:t>Seront punis comme complices d'une action qualifiée crime ou délit ceux qui, par dons, promesses, menaces, abus d'autorité ou de pouvoir, machinations ou artifices coupables, auront provoqué à cette action ou donné des instructions pour la commettre.</w:t>
      </w:r>
    </w:p>
    <w:p w:rsidR="00401B3D" w:rsidRPr="002E2B1E" w:rsidRDefault="00401B3D" w:rsidP="0098524B">
      <w:pPr>
        <w:spacing w:line="360" w:lineRule="auto"/>
        <w:jc w:val="both"/>
        <w:rPr>
          <w:rFonts w:ascii="Times New Roman" w:hAnsi="Times New Roman" w:cs="Times New Roman"/>
          <w:b/>
          <w:sz w:val="24"/>
          <w:szCs w:val="24"/>
        </w:rPr>
      </w:pPr>
      <w:r w:rsidRPr="002E2B1E">
        <w:rPr>
          <w:rFonts w:ascii="Times New Roman" w:hAnsi="Times New Roman" w:cs="Times New Roman"/>
          <w:b/>
          <w:sz w:val="24"/>
          <w:szCs w:val="24"/>
        </w:rPr>
        <w:t>Ceux qui auront procuré des armes, des instruments, ou tout autre moyen qui aura servi à l'action sachant qu'ils devraient y servir.</w:t>
      </w:r>
    </w:p>
    <w:p w:rsidR="00401B3D" w:rsidRPr="00D83BB4" w:rsidRDefault="00401B3D" w:rsidP="0098524B">
      <w:pPr>
        <w:spacing w:line="360" w:lineRule="auto"/>
        <w:jc w:val="both"/>
        <w:rPr>
          <w:rFonts w:ascii="Times New Roman" w:hAnsi="Times New Roman" w:cs="Times New Roman"/>
          <w:b/>
          <w:sz w:val="24"/>
          <w:szCs w:val="24"/>
        </w:rPr>
      </w:pPr>
      <w:r w:rsidRPr="00D83BB4">
        <w:rPr>
          <w:rFonts w:ascii="Times New Roman" w:hAnsi="Times New Roman" w:cs="Times New Roman"/>
          <w:b/>
          <w:sz w:val="24"/>
          <w:szCs w:val="24"/>
        </w:rPr>
        <w:t>Ceux qui auront, avec connaissance, aidé ou assisté l'auteur ou les auteurs de l'action, dans les faits qui l'auront préparée ou facilitée, ou dans ceux qui l'auront consommée, sans préjudice des peines qui seront spécialement portées par le présent Code contre les auteurs de complots ou de provocations attentatoires à la sûreté de l'Etat, même dans le cas où le crime qui était l'objet des conspirateurs ou des provocateurs n'aurait pas été commis.</w:t>
      </w:r>
    </w:p>
    <w:p w:rsidR="00274ACD" w:rsidRPr="00274ACD" w:rsidRDefault="00F93435" w:rsidP="0098524B">
      <w:pPr>
        <w:pStyle w:val="Paragraphedeliste"/>
        <w:numPr>
          <w:ilvl w:val="0"/>
          <w:numId w:val="1"/>
        </w:numPr>
        <w:spacing w:before="120" w:after="120" w:line="360" w:lineRule="auto"/>
        <w:jc w:val="both"/>
        <w:rPr>
          <w:rFonts w:ascii="Times New Roman" w:hAnsi="Times New Roman" w:cs="Times New Roman"/>
          <w:sz w:val="24"/>
          <w:szCs w:val="24"/>
        </w:rPr>
      </w:pPr>
      <w:r w:rsidRPr="00F93435">
        <w:rPr>
          <w:rFonts w:ascii="Times New Roman" w:hAnsi="Times New Roman" w:cs="Times New Roman"/>
          <w:i/>
          <w:color w:val="000000" w:themeColor="text1"/>
          <w:sz w:val="24"/>
          <w:szCs w:val="24"/>
        </w:rPr>
        <w:t xml:space="preserve">La complicité suppose outre un fait principal punissable, un acte matériel de complicité sous-tendu par une conscience </w:t>
      </w:r>
      <w:r w:rsidR="00053CB9">
        <w:rPr>
          <w:rFonts w:ascii="Times New Roman" w:hAnsi="Times New Roman" w:cs="Times New Roman"/>
          <w:i/>
          <w:color w:val="000000" w:themeColor="text1"/>
          <w:sz w:val="24"/>
          <w:szCs w:val="24"/>
        </w:rPr>
        <w:t xml:space="preserve">du caractère délictueux de l’attitude adoptée. Doit être infirmé  le jugement qui a condamné pour complicité le directeur d’une société dont les négligences ont facilité </w:t>
      </w:r>
      <w:r w:rsidR="00396C05">
        <w:rPr>
          <w:rFonts w:ascii="Times New Roman" w:hAnsi="Times New Roman" w:cs="Times New Roman"/>
          <w:i/>
          <w:color w:val="000000" w:themeColor="text1"/>
          <w:sz w:val="24"/>
          <w:szCs w:val="24"/>
        </w:rPr>
        <w:t>la commission de délits au préjudice de cette dernière.</w:t>
      </w:r>
      <w:r w:rsidR="00053CB9">
        <w:rPr>
          <w:rFonts w:ascii="Times New Roman" w:hAnsi="Times New Roman" w:cs="Times New Roman"/>
          <w:i/>
          <w:color w:val="000000" w:themeColor="text1"/>
          <w:sz w:val="24"/>
          <w:szCs w:val="24"/>
        </w:rPr>
        <w:t xml:space="preserve"> </w:t>
      </w:r>
      <w:r w:rsidR="00EC23E5">
        <w:rPr>
          <w:rStyle w:val="Appelnotedebasdep"/>
          <w:rFonts w:ascii="Times New Roman" w:hAnsi="Times New Roman" w:cs="Times New Roman"/>
          <w:i/>
          <w:color w:val="000000" w:themeColor="text1"/>
          <w:sz w:val="24"/>
          <w:szCs w:val="24"/>
        </w:rPr>
        <w:footnoteReference w:id="1"/>
      </w:r>
      <w:r w:rsidR="00053CB9">
        <w:rPr>
          <w:rFonts w:ascii="Times New Roman" w:hAnsi="Times New Roman" w:cs="Times New Roman"/>
          <w:i/>
          <w:color w:val="000000" w:themeColor="text1"/>
          <w:sz w:val="24"/>
          <w:szCs w:val="24"/>
        </w:rPr>
        <w:t xml:space="preserve"> </w:t>
      </w:r>
    </w:p>
    <w:p w:rsidR="00C84B10" w:rsidRDefault="00C84B10" w:rsidP="00F244DE">
      <w:pPr>
        <w:pStyle w:val="Titre1"/>
        <w:rPr>
          <w:color w:val="FF0000"/>
        </w:rPr>
      </w:pPr>
      <w:bookmarkStart w:id="6" w:name="_Toc521059388"/>
      <w:r w:rsidRPr="00C84B10">
        <w:t>Cour d’Appel de Dakar, arrêt n° 227 du 06 mars 2009</w:t>
      </w:r>
      <w:r>
        <w:t xml:space="preserve">,  </w:t>
      </w:r>
      <w:r w:rsidRPr="00834D5F">
        <w:t>Ministère Public</w:t>
      </w:r>
      <w:r w:rsidR="001B6AFC">
        <w:t xml:space="preserve"> et</w:t>
      </w:r>
      <w:r>
        <w:t xml:space="preserve"> DHL International Mali</w:t>
      </w:r>
      <w:r w:rsidRPr="00834D5F">
        <w:t xml:space="preserve"> contre </w:t>
      </w:r>
      <w:r w:rsidR="00B07A3E" w:rsidRPr="00B07A3E">
        <w:t>Bokeline THIAM</w:t>
      </w:r>
      <w:r w:rsidR="00B07A3E">
        <w:t>.</w:t>
      </w:r>
      <w:bookmarkEnd w:id="6"/>
    </w:p>
    <w:p w:rsidR="00274ACD" w:rsidRPr="00A77726" w:rsidRDefault="003D5F3C" w:rsidP="0098524B">
      <w:pPr>
        <w:pStyle w:val="Paragraphedeliste"/>
        <w:numPr>
          <w:ilvl w:val="0"/>
          <w:numId w:val="1"/>
        </w:numPr>
        <w:spacing w:before="120" w:after="120" w:line="360" w:lineRule="auto"/>
        <w:jc w:val="both"/>
        <w:rPr>
          <w:rFonts w:ascii="Times New Roman" w:hAnsi="Times New Roman" w:cs="Times New Roman"/>
          <w:b/>
          <w:i/>
          <w:sz w:val="24"/>
          <w:szCs w:val="24"/>
        </w:rPr>
      </w:pPr>
      <w:r>
        <w:rPr>
          <w:rFonts w:ascii="Times New Roman" w:hAnsi="Times New Roman" w:cs="Times New Roman"/>
          <w:i/>
          <w:sz w:val="24"/>
          <w:szCs w:val="24"/>
        </w:rPr>
        <w:t xml:space="preserve">Une </w:t>
      </w:r>
      <w:r w:rsidR="00274ACD" w:rsidRPr="001B144A">
        <w:rPr>
          <w:rFonts w:ascii="Times New Roman" w:hAnsi="Times New Roman" w:cs="Times New Roman"/>
          <w:i/>
          <w:sz w:val="24"/>
          <w:szCs w:val="24"/>
        </w:rPr>
        <w:t xml:space="preserve"> Cour </w:t>
      </w:r>
      <w:r w:rsidR="00ED3462" w:rsidRPr="001B144A">
        <w:rPr>
          <w:rFonts w:ascii="Times New Roman" w:hAnsi="Times New Roman" w:cs="Times New Roman"/>
          <w:i/>
          <w:sz w:val="24"/>
          <w:szCs w:val="24"/>
        </w:rPr>
        <w:t>d’Appel a confirmé une décision d</w:t>
      </w:r>
      <w:r>
        <w:rPr>
          <w:rFonts w:ascii="Times New Roman" w:hAnsi="Times New Roman" w:cs="Times New Roman"/>
          <w:i/>
          <w:sz w:val="24"/>
          <w:szCs w:val="24"/>
        </w:rPr>
        <w:t>’</w:t>
      </w:r>
      <w:r w:rsidR="00ED3462" w:rsidRPr="001B144A">
        <w:rPr>
          <w:rFonts w:ascii="Times New Roman" w:hAnsi="Times New Roman" w:cs="Times New Roman"/>
          <w:i/>
          <w:sz w:val="24"/>
          <w:szCs w:val="24"/>
        </w:rPr>
        <w:t>u</w:t>
      </w:r>
      <w:r>
        <w:rPr>
          <w:rFonts w:ascii="Times New Roman" w:hAnsi="Times New Roman" w:cs="Times New Roman"/>
          <w:i/>
          <w:sz w:val="24"/>
          <w:szCs w:val="24"/>
        </w:rPr>
        <w:t>n</w:t>
      </w:r>
      <w:r w:rsidR="00ED3462" w:rsidRPr="001B144A">
        <w:rPr>
          <w:rFonts w:ascii="Times New Roman" w:hAnsi="Times New Roman" w:cs="Times New Roman"/>
          <w:i/>
          <w:sz w:val="24"/>
          <w:szCs w:val="24"/>
        </w:rPr>
        <w:t xml:space="preserve"> Tribunal correctionnel rendue le 30 mai 2012 qui a déclaré coupable de complicité d’abus de confiance une personne qui en connaissance de cause a apporté</w:t>
      </w:r>
      <w:r w:rsidR="00CC175F" w:rsidRPr="001B144A">
        <w:rPr>
          <w:rFonts w:ascii="Times New Roman" w:hAnsi="Times New Roman" w:cs="Times New Roman"/>
          <w:i/>
          <w:sz w:val="24"/>
          <w:szCs w:val="24"/>
        </w:rPr>
        <w:t xml:space="preserve"> son aide</w:t>
      </w:r>
      <w:r w:rsidR="00ED3462" w:rsidRPr="001B144A">
        <w:rPr>
          <w:rFonts w:ascii="Times New Roman" w:hAnsi="Times New Roman" w:cs="Times New Roman"/>
          <w:i/>
          <w:sz w:val="24"/>
          <w:szCs w:val="24"/>
        </w:rPr>
        <w:t xml:space="preserve"> pour le retrait de chèques</w:t>
      </w:r>
      <w:r w:rsidR="00CC175F" w:rsidRPr="001B144A">
        <w:rPr>
          <w:rFonts w:ascii="Times New Roman" w:hAnsi="Times New Roman" w:cs="Times New Roman"/>
          <w:i/>
          <w:sz w:val="24"/>
          <w:szCs w:val="24"/>
        </w:rPr>
        <w:t xml:space="preserve"> qu’elle savait ne pas appartenir à son compatriote  qui a allégué ne pas disposer de pièces d’identité pour procéder au retrait</w:t>
      </w:r>
      <w:r w:rsidR="006543F2">
        <w:rPr>
          <w:rFonts w:ascii="Times New Roman" w:hAnsi="Times New Roman" w:cs="Times New Roman"/>
          <w:i/>
          <w:sz w:val="24"/>
          <w:szCs w:val="24"/>
        </w:rPr>
        <w:t xml:space="preserve"> </w:t>
      </w:r>
      <w:r w:rsidR="00CC175F" w:rsidRPr="001B144A">
        <w:rPr>
          <w:rFonts w:ascii="Times New Roman" w:hAnsi="Times New Roman" w:cs="Times New Roman"/>
          <w:i/>
          <w:sz w:val="24"/>
          <w:szCs w:val="24"/>
        </w:rPr>
        <w:t xml:space="preserve"> en le mettant en rapport </w:t>
      </w:r>
      <w:r w:rsidR="001B144A" w:rsidRPr="001B144A">
        <w:rPr>
          <w:rFonts w:ascii="Times New Roman" w:hAnsi="Times New Roman" w:cs="Times New Roman"/>
          <w:i/>
          <w:sz w:val="24"/>
          <w:szCs w:val="24"/>
        </w:rPr>
        <w:t>avec un ancien agent de la BCEAO.</w:t>
      </w:r>
      <w:r w:rsidR="00CC175F" w:rsidRPr="001B144A">
        <w:rPr>
          <w:rFonts w:ascii="Times New Roman" w:hAnsi="Times New Roman" w:cs="Times New Roman"/>
          <w:i/>
          <w:sz w:val="24"/>
          <w:szCs w:val="24"/>
        </w:rPr>
        <w:t xml:space="preserve"> </w:t>
      </w:r>
    </w:p>
    <w:p w:rsidR="00A77726" w:rsidRPr="00A77726" w:rsidRDefault="00A77726" w:rsidP="00F244DE">
      <w:pPr>
        <w:pStyle w:val="Titre1"/>
      </w:pPr>
      <w:bookmarkStart w:id="7" w:name="_Toc521059389"/>
      <w:r w:rsidRPr="00A77726">
        <w:t>Cour d’Appel de Dakar, arrêt n° 615 du 05/05/ 2015,  Ministère Public et Safiétou DIENE contre Abdoulaye DIALLO.</w:t>
      </w:r>
      <w:bookmarkEnd w:id="7"/>
    </w:p>
    <w:p w:rsidR="006C7CBC" w:rsidRPr="006C7CBC" w:rsidRDefault="00B24329" w:rsidP="0098524B">
      <w:pPr>
        <w:pStyle w:val="Paragraphedeliste"/>
        <w:numPr>
          <w:ilvl w:val="0"/>
          <w:numId w:val="1"/>
        </w:numPr>
        <w:spacing w:before="120" w:after="120" w:line="360" w:lineRule="auto"/>
        <w:jc w:val="both"/>
        <w:rPr>
          <w:rFonts w:ascii="Times New Roman" w:hAnsi="Times New Roman" w:cs="Times New Roman"/>
          <w:b/>
          <w:i/>
          <w:color w:val="000000" w:themeColor="text1"/>
          <w:sz w:val="24"/>
          <w:szCs w:val="24"/>
        </w:rPr>
      </w:pPr>
      <w:r>
        <w:rPr>
          <w:rFonts w:ascii="Times New Roman" w:hAnsi="Times New Roman" w:cs="Times New Roman"/>
          <w:i/>
          <w:sz w:val="24"/>
          <w:szCs w:val="24"/>
        </w:rPr>
        <w:t xml:space="preserve">Une </w:t>
      </w:r>
      <w:r w:rsidR="00A77726" w:rsidRPr="00A77726">
        <w:rPr>
          <w:rFonts w:ascii="Times New Roman" w:hAnsi="Times New Roman" w:cs="Times New Roman"/>
          <w:i/>
          <w:sz w:val="24"/>
          <w:szCs w:val="24"/>
        </w:rPr>
        <w:t xml:space="preserve"> Cour d’Appel a confirmé </w:t>
      </w:r>
      <w:r>
        <w:rPr>
          <w:rFonts w:ascii="Times New Roman" w:hAnsi="Times New Roman" w:cs="Times New Roman"/>
          <w:i/>
          <w:sz w:val="24"/>
          <w:szCs w:val="24"/>
        </w:rPr>
        <w:t xml:space="preserve">un </w:t>
      </w:r>
      <w:r w:rsidR="00A77726" w:rsidRPr="00A77726">
        <w:rPr>
          <w:rFonts w:ascii="Times New Roman" w:hAnsi="Times New Roman" w:cs="Times New Roman"/>
          <w:i/>
          <w:sz w:val="24"/>
          <w:szCs w:val="24"/>
        </w:rPr>
        <w:t xml:space="preserve">jugement </w:t>
      </w:r>
      <w:r>
        <w:rPr>
          <w:rFonts w:ascii="Times New Roman" w:hAnsi="Times New Roman" w:cs="Times New Roman"/>
          <w:i/>
          <w:sz w:val="24"/>
          <w:szCs w:val="24"/>
        </w:rPr>
        <w:t>d’un</w:t>
      </w:r>
      <w:r w:rsidR="00A77726" w:rsidRPr="00A77726">
        <w:rPr>
          <w:rFonts w:ascii="Times New Roman" w:hAnsi="Times New Roman" w:cs="Times New Roman"/>
          <w:i/>
          <w:sz w:val="24"/>
          <w:szCs w:val="24"/>
        </w:rPr>
        <w:t xml:space="preserve"> Tribunal Départemental </w:t>
      </w:r>
      <w:r w:rsidR="00A77726">
        <w:rPr>
          <w:rFonts w:ascii="Times New Roman" w:hAnsi="Times New Roman" w:cs="Times New Roman"/>
          <w:i/>
          <w:sz w:val="24"/>
          <w:szCs w:val="24"/>
        </w:rPr>
        <w:t>qui a déclaré</w:t>
      </w:r>
      <w:r w:rsidR="00C01E55">
        <w:rPr>
          <w:rFonts w:ascii="Times New Roman" w:hAnsi="Times New Roman" w:cs="Times New Roman"/>
          <w:i/>
          <w:sz w:val="24"/>
          <w:szCs w:val="24"/>
        </w:rPr>
        <w:t xml:space="preserve"> </w:t>
      </w:r>
      <w:r w:rsidR="00A77726">
        <w:rPr>
          <w:rFonts w:ascii="Times New Roman" w:hAnsi="Times New Roman" w:cs="Times New Roman"/>
          <w:i/>
          <w:sz w:val="24"/>
          <w:szCs w:val="24"/>
        </w:rPr>
        <w:t>une</w:t>
      </w:r>
      <w:r w:rsidR="00C01E55">
        <w:rPr>
          <w:rFonts w:ascii="Times New Roman" w:hAnsi="Times New Roman" w:cs="Times New Roman"/>
          <w:i/>
          <w:sz w:val="24"/>
          <w:szCs w:val="24"/>
        </w:rPr>
        <w:t xml:space="preserve"> personne coupable</w:t>
      </w:r>
      <w:r w:rsidR="00A77726">
        <w:rPr>
          <w:rFonts w:ascii="Times New Roman" w:hAnsi="Times New Roman" w:cs="Times New Roman"/>
          <w:i/>
          <w:sz w:val="24"/>
          <w:szCs w:val="24"/>
        </w:rPr>
        <w:t xml:space="preserve"> de </w:t>
      </w:r>
      <w:r w:rsidR="00A77726" w:rsidRPr="00A77726">
        <w:rPr>
          <w:rFonts w:ascii="Times New Roman" w:hAnsi="Times New Roman" w:cs="Times New Roman"/>
          <w:i/>
          <w:sz w:val="24"/>
          <w:szCs w:val="24"/>
        </w:rPr>
        <w:t xml:space="preserve"> </w:t>
      </w:r>
      <w:r w:rsidR="00C01E55">
        <w:rPr>
          <w:rFonts w:ascii="Times New Roman" w:hAnsi="Times New Roman" w:cs="Times New Roman"/>
          <w:i/>
          <w:sz w:val="24"/>
          <w:szCs w:val="24"/>
        </w:rPr>
        <w:t>complicité de vol</w:t>
      </w:r>
      <w:r w:rsidR="00A77726" w:rsidRPr="00A77726">
        <w:rPr>
          <w:rFonts w:ascii="Times New Roman" w:hAnsi="Times New Roman" w:cs="Times New Roman"/>
          <w:i/>
          <w:sz w:val="24"/>
          <w:szCs w:val="24"/>
        </w:rPr>
        <w:t xml:space="preserve"> </w:t>
      </w:r>
      <w:r w:rsidR="00C01E55">
        <w:rPr>
          <w:rFonts w:ascii="Times New Roman" w:hAnsi="Times New Roman" w:cs="Times New Roman"/>
          <w:i/>
          <w:sz w:val="24"/>
          <w:szCs w:val="24"/>
        </w:rPr>
        <w:t xml:space="preserve">pour avoir conseillé téléphoniquement son </w:t>
      </w:r>
      <w:r w:rsidR="00C01E55">
        <w:rPr>
          <w:rFonts w:ascii="Times New Roman" w:hAnsi="Times New Roman" w:cs="Times New Roman"/>
          <w:i/>
          <w:sz w:val="24"/>
          <w:szCs w:val="24"/>
        </w:rPr>
        <w:lastRenderedPageBreak/>
        <w:t>co-prévenu</w:t>
      </w:r>
      <w:r w:rsidR="006C7CBC">
        <w:rPr>
          <w:rFonts w:ascii="Times New Roman" w:hAnsi="Times New Roman" w:cs="Times New Roman"/>
          <w:i/>
          <w:sz w:val="24"/>
          <w:szCs w:val="24"/>
        </w:rPr>
        <w:t>, recherché,</w:t>
      </w:r>
      <w:r w:rsidRPr="00B24329">
        <w:rPr>
          <w:rFonts w:ascii="Times New Roman" w:hAnsi="Times New Roman" w:cs="Times New Roman"/>
          <w:i/>
          <w:sz w:val="24"/>
          <w:szCs w:val="24"/>
        </w:rPr>
        <w:t xml:space="preserve"> </w:t>
      </w:r>
      <w:r>
        <w:rPr>
          <w:rFonts w:ascii="Times New Roman" w:hAnsi="Times New Roman" w:cs="Times New Roman"/>
          <w:i/>
          <w:sz w:val="24"/>
          <w:szCs w:val="24"/>
        </w:rPr>
        <w:t>de s’enfuir après la commission desdits faits alors qu’il</w:t>
      </w:r>
      <w:r w:rsidR="006C7CBC">
        <w:rPr>
          <w:rFonts w:ascii="Times New Roman" w:hAnsi="Times New Roman" w:cs="Times New Roman"/>
          <w:i/>
          <w:sz w:val="24"/>
          <w:szCs w:val="24"/>
        </w:rPr>
        <w:t xml:space="preserve"> lui avait proposé la vente de moutons quelques jours avant les faits de vol,.</w:t>
      </w:r>
    </w:p>
    <w:p w:rsidR="001152CF" w:rsidRDefault="006C7CBC" w:rsidP="00F244DE">
      <w:pPr>
        <w:pStyle w:val="Titre1"/>
        <w:rPr>
          <w:rFonts w:ascii="Arial Narrow" w:hAnsi="Arial Narrow"/>
        </w:rPr>
      </w:pPr>
      <w:bookmarkStart w:id="8" w:name="_Toc521059390"/>
      <w:r w:rsidRPr="00EE35A5">
        <w:t>Cour d’Appel de Saint-</w:t>
      </w:r>
      <w:r w:rsidR="00EE35A5" w:rsidRPr="00EE35A5">
        <w:t>Louis</w:t>
      </w:r>
      <w:r w:rsidRPr="00EE35A5">
        <w:t>,</w:t>
      </w:r>
      <w:r w:rsidR="00EE35A5" w:rsidRPr="00EE35A5">
        <w:t xml:space="preserve"> ARRET  N° 25 DU 12 MARS 2010, </w:t>
      </w:r>
      <w:r w:rsidRPr="00EE35A5">
        <w:t>Ministère Public</w:t>
      </w:r>
      <w:r w:rsidR="00EE35A5" w:rsidRPr="00EE35A5">
        <w:t xml:space="preserve"> et</w:t>
      </w:r>
      <w:r w:rsidR="00EE35A5" w:rsidRPr="00EE35A5">
        <w:rPr>
          <w:rFonts w:ascii="Arial Narrow" w:hAnsi="Arial Narrow"/>
        </w:rPr>
        <w:t xml:space="preserve"> Fatou SARR et Cheikh Tidiane LÔ CONTRE Hassane SOW</w:t>
      </w:r>
      <w:r w:rsidR="00EE35A5">
        <w:rPr>
          <w:rFonts w:ascii="Arial Narrow" w:hAnsi="Arial Narrow"/>
        </w:rPr>
        <w:t>.</w:t>
      </w:r>
      <w:bookmarkEnd w:id="8"/>
      <w:r w:rsidR="001152CF">
        <w:rPr>
          <w:rFonts w:ascii="Arial Narrow" w:hAnsi="Arial Narrow"/>
        </w:rPr>
        <w:t xml:space="preserve"> </w:t>
      </w:r>
    </w:p>
    <w:p w:rsidR="009F7336" w:rsidRPr="00FA65F5" w:rsidRDefault="005841ED" w:rsidP="0098524B">
      <w:pPr>
        <w:pStyle w:val="Paragraphedeliste"/>
        <w:numPr>
          <w:ilvl w:val="0"/>
          <w:numId w:val="1"/>
        </w:numPr>
        <w:spacing w:before="120" w:after="120" w:line="360" w:lineRule="auto"/>
        <w:jc w:val="both"/>
        <w:rPr>
          <w:rFonts w:ascii="Times New Roman" w:hAnsi="Times New Roman" w:cs="Times New Roman"/>
          <w:b/>
          <w:i/>
          <w:color w:val="000000" w:themeColor="text1"/>
          <w:sz w:val="24"/>
          <w:szCs w:val="24"/>
        </w:rPr>
      </w:pPr>
      <w:r w:rsidRPr="005841ED">
        <w:rPr>
          <w:rFonts w:ascii="Times New Roman" w:hAnsi="Times New Roman" w:cs="Times New Roman"/>
          <w:i/>
          <w:sz w:val="24"/>
          <w:szCs w:val="24"/>
        </w:rPr>
        <w:t>A jugé</w:t>
      </w:r>
      <w:r w:rsidR="009C59F3">
        <w:rPr>
          <w:rFonts w:ascii="Times New Roman" w:hAnsi="Times New Roman" w:cs="Times New Roman"/>
          <w:i/>
          <w:sz w:val="24"/>
          <w:szCs w:val="24"/>
        </w:rPr>
        <w:t>,</w:t>
      </w:r>
      <w:r w:rsidRPr="005841ED">
        <w:rPr>
          <w:rFonts w:ascii="Times New Roman" w:hAnsi="Times New Roman" w:cs="Times New Roman"/>
          <w:i/>
          <w:sz w:val="24"/>
          <w:szCs w:val="24"/>
        </w:rPr>
        <w:t xml:space="preserve"> une Cour d’assises</w:t>
      </w:r>
      <w:r w:rsidR="009C59F3">
        <w:rPr>
          <w:rFonts w:ascii="Times New Roman" w:hAnsi="Times New Roman" w:cs="Times New Roman"/>
          <w:i/>
          <w:sz w:val="24"/>
          <w:szCs w:val="24"/>
        </w:rPr>
        <w:t>,</w:t>
      </w:r>
      <w:r w:rsidRPr="005841ED">
        <w:rPr>
          <w:rFonts w:ascii="Times New Roman" w:hAnsi="Times New Roman" w:cs="Times New Roman"/>
          <w:i/>
          <w:sz w:val="24"/>
          <w:szCs w:val="24"/>
        </w:rPr>
        <w:t xml:space="preserve"> que doit être acquitté</w:t>
      </w:r>
      <w:r>
        <w:rPr>
          <w:rFonts w:ascii="Times New Roman" w:hAnsi="Times New Roman" w:cs="Times New Roman"/>
          <w:i/>
          <w:sz w:val="24"/>
          <w:szCs w:val="24"/>
        </w:rPr>
        <w:t xml:space="preserve"> un accusé poursuivi de complicité </w:t>
      </w:r>
      <w:r w:rsidR="007A6F81" w:rsidRPr="007A6F81">
        <w:rPr>
          <w:rFonts w:ascii="Times New Roman" w:eastAsia="Calibri" w:hAnsi="Times New Roman" w:cs="Times New Roman"/>
          <w:i/>
          <w:sz w:val="24"/>
          <w:szCs w:val="24"/>
        </w:rPr>
        <w:t>par fourniture de moyens</w:t>
      </w:r>
      <w:r w:rsidR="007A6F81">
        <w:rPr>
          <w:rFonts w:ascii="Times New Roman" w:hAnsi="Times New Roman" w:cs="Times New Roman"/>
          <w:i/>
          <w:sz w:val="24"/>
          <w:szCs w:val="24"/>
        </w:rPr>
        <w:t xml:space="preserve"> au motif qu’il</w:t>
      </w:r>
      <w:r w:rsidR="007A6F81" w:rsidRPr="007A6F81">
        <w:rPr>
          <w:rFonts w:ascii="Times New Roman" w:eastAsia="Times New Roman" w:hAnsi="Times New Roman" w:cs="Times New Roman"/>
          <w:sz w:val="28"/>
          <w:szCs w:val="20"/>
        </w:rPr>
        <w:t xml:space="preserve"> </w:t>
      </w:r>
      <w:r w:rsidR="007A6F81" w:rsidRPr="007A6F81">
        <w:rPr>
          <w:rFonts w:ascii="Times New Roman" w:eastAsia="Calibri" w:hAnsi="Times New Roman" w:cs="Times New Roman"/>
          <w:i/>
          <w:sz w:val="24"/>
          <w:szCs w:val="24"/>
        </w:rPr>
        <w:t xml:space="preserve">ignorait tout de l’usage criminel qui a été fait du véhicule qu’il a sous loué </w:t>
      </w:r>
      <w:r w:rsidR="003B3F39">
        <w:rPr>
          <w:rFonts w:ascii="Times New Roman" w:hAnsi="Times New Roman" w:cs="Times New Roman"/>
          <w:i/>
          <w:sz w:val="24"/>
          <w:szCs w:val="24"/>
        </w:rPr>
        <w:t xml:space="preserve">et n’avait pas </w:t>
      </w:r>
      <w:r w:rsidR="003B3F39" w:rsidRPr="003B3F39">
        <w:rPr>
          <w:rFonts w:ascii="Times New Roman" w:eastAsia="Calibri" w:hAnsi="Times New Roman" w:cs="Times New Roman"/>
          <w:i/>
          <w:sz w:val="24"/>
          <w:szCs w:val="24"/>
        </w:rPr>
        <w:t xml:space="preserve">la claire connaissance et conscience de l’usage criminel auquel </w:t>
      </w:r>
      <w:r w:rsidR="003B3F39">
        <w:rPr>
          <w:rFonts w:ascii="Times New Roman" w:hAnsi="Times New Roman" w:cs="Times New Roman"/>
          <w:i/>
          <w:sz w:val="24"/>
          <w:szCs w:val="24"/>
        </w:rPr>
        <w:t xml:space="preserve">l’auteur principal </w:t>
      </w:r>
      <w:r w:rsidR="003B3F39" w:rsidRPr="003B3F39">
        <w:rPr>
          <w:rFonts w:ascii="Times New Roman" w:eastAsia="Calibri" w:hAnsi="Times New Roman" w:cs="Times New Roman"/>
          <w:i/>
          <w:sz w:val="24"/>
          <w:szCs w:val="24"/>
        </w:rPr>
        <w:t>destinait le véhicule qu’il lui a sous loué par l’entremise d</w:t>
      </w:r>
      <w:r w:rsidR="001C3583">
        <w:rPr>
          <w:rFonts w:ascii="Times New Roman" w:hAnsi="Times New Roman" w:cs="Times New Roman"/>
          <w:i/>
          <w:sz w:val="24"/>
          <w:szCs w:val="24"/>
        </w:rPr>
        <w:t>’une autre personne.</w:t>
      </w:r>
    </w:p>
    <w:p w:rsidR="005841ED" w:rsidRDefault="00FA65F5" w:rsidP="00F244DE">
      <w:pPr>
        <w:pStyle w:val="Titre1"/>
      </w:pPr>
      <w:bookmarkStart w:id="9" w:name="_Toc521059391"/>
      <w:r w:rsidRPr="00FA65F5">
        <w:t>Ministère Public contre</w:t>
      </w:r>
      <w:r w:rsidRPr="00FA65F5">
        <w:rPr>
          <w:rFonts w:eastAsia="Times New Roman"/>
          <w:sz w:val="28"/>
          <w:szCs w:val="20"/>
        </w:rPr>
        <w:t xml:space="preserve"> </w:t>
      </w:r>
      <w:r w:rsidRPr="00FA65F5">
        <w:rPr>
          <w:rFonts w:eastAsia="Calibri"/>
          <w:color w:val="000000"/>
        </w:rPr>
        <w:t>Papa Cissé MBAYE et autres</w:t>
      </w:r>
      <w:r w:rsidRPr="00FA65F5">
        <w:t>, Arrêt de la Cour d’Assises de Dakar N° 24  du 18 mai 2012 (Inédit).</w:t>
      </w:r>
      <w:bookmarkEnd w:id="9"/>
    </w:p>
    <w:p w:rsidR="00EF03F4" w:rsidRPr="00016C78" w:rsidRDefault="00EF03F4" w:rsidP="0098524B">
      <w:pPr>
        <w:pStyle w:val="Paragraphedeliste"/>
        <w:numPr>
          <w:ilvl w:val="0"/>
          <w:numId w:val="1"/>
        </w:numPr>
        <w:spacing w:before="120" w:after="120" w:line="360" w:lineRule="auto"/>
        <w:jc w:val="both"/>
        <w:rPr>
          <w:rFonts w:ascii="Times New Roman" w:hAnsi="Times New Roman" w:cs="Times New Roman"/>
          <w:i/>
          <w:sz w:val="24"/>
          <w:szCs w:val="24"/>
        </w:rPr>
      </w:pPr>
      <w:r>
        <w:rPr>
          <w:rFonts w:ascii="Times New Roman" w:hAnsi="Times New Roman" w:cs="Times New Roman"/>
          <w:i/>
          <w:sz w:val="24"/>
          <w:szCs w:val="24"/>
        </w:rPr>
        <w:t>C’est à bon droit qu’</w:t>
      </w:r>
      <w:r w:rsidRPr="00F67526">
        <w:rPr>
          <w:rFonts w:ascii="Times New Roman" w:hAnsi="Times New Roman" w:cs="Times New Roman"/>
          <w:i/>
          <w:sz w:val="24"/>
          <w:szCs w:val="24"/>
        </w:rPr>
        <w:t>une Cour d’Appel</w:t>
      </w:r>
      <w:r>
        <w:rPr>
          <w:rFonts w:ascii="Times New Roman" w:hAnsi="Times New Roman" w:cs="Times New Roman"/>
          <w:i/>
          <w:sz w:val="24"/>
          <w:szCs w:val="24"/>
        </w:rPr>
        <w:t xml:space="preserve"> a confirmé </w:t>
      </w:r>
      <w:r w:rsidRPr="00F67526">
        <w:rPr>
          <w:rFonts w:ascii="Times New Roman" w:hAnsi="Times New Roman" w:cs="Times New Roman"/>
          <w:i/>
          <w:sz w:val="24"/>
          <w:szCs w:val="24"/>
        </w:rPr>
        <w:t xml:space="preserve"> une décision de première instance ayant condamné à cinq (05) ans d’emprisonnement ferme un</w:t>
      </w:r>
      <w:r>
        <w:rPr>
          <w:rFonts w:ascii="Times New Roman" w:hAnsi="Times New Roman" w:cs="Times New Roman"/>
          <w:i/>
          <w:sz w:val="24"/>
          <w:szCs w:val="24"/>
        </w:rPr>
        <w:t xml:space="preserve"> prévenu déclaré coupable de complicité</w:t>
      </w:r>
      <w:r w:rsidRPr="00F67526">
        <w:rPr>
          <w:rFonts w:ascii="Times New Roman" w:hAnsi="Times New Roman" w:cs="Times New Roman"/>
          <w:i/>
          <w:sz w:val="24"/>
          <w:szCs w:val="24"/>
        </w:rPr>
        <w:t xml:space="preserve"> au moti</w:t>
      </w:r>
      <w:r>
        <w:rPr>
          <w:rFonts w:ascii="Times New Roman" w:hAnsi="Times New Roman" w:cs="Times New Roman"/>
          <w:i/>
          <w:sz w:val="24"/>
          <w:szCs w:val="24"/>
        </w:rPr>
        <w:t>f qu’il détient sur l’auteur principal(condamné à la même peine) qu’il a soutenu dans ses études primaires et universitaires, une autorité ou un pouvoir ascendant qu’il a usé pour lui enjoindre l’ordre de détourner les fonds, sachant  comme il l’a reconnu qu’ils appartiennent à la Mutuelle d’épargne et de crédit de la municipalité de Dakar.</w:t>
      </w:r>
    </w:p>
    <w:p w:rsidR="00EF03F4" w:rsidRPr="00BA5FAE" w:rsidRDefault="00EF03F4" w:rsidP="00F244DE">
      <w:pPr>
        <w:pStyle w:val="Titre1"/>
      </w:pPr>
      <w:bookmarkStart w:id="10" w:name="_Toc521059392"/>
      <w:r w:rsidRPr="00BA5FAE">
        <w:t xml:space="preserve">Cour d’Appel de Dakar, arrêt n° </w:t>
      </w:r>
      <w:r>
        <w:t>366</w:t>
      </w:r>
      <w:r w:rsidRPr="00BA5FAE">
        <w:t xml:space="preserve"> du </w:t>
      </w:r>
      <w:r>
        <w:t>17/03</w:t>
      </w:r>
      <w:r w:rsidRPr="00BA5FAE">
        <w:t>/ 201</w:t>
      </w:r>
      <w:r>
        <w:t>5</w:t>
      </w:r>
      <w:r w:rsidRPr="00BA5FAE">
        <w:t xml:space="preserve">,  Ministère Public et </w:t>
      </w:r>
      <w:r>
        <w:t xml:space="preserve">Crédit Mutuel de Dakar </w:t>
      </w:r>
      <w:r w:rsidRPr="00BA5FAE">
        <w:t>contre</w:t>
      </w:r>
      <w:r>
        <w:t xml:space="preserve"> Hamady Moustapha NIANG et autres.</w:t>
      </w:r>
      <w:bookmarkEnd w:id="10"/>
    </w:p>
    <w:p w:rsidR="00206B42" w:rsidRPr="00D044FD" w:rsidRDefault="003F7F26" w:rsidP="00206B42">
      <w:pPr>
        <w:pStyle w:val="Paragraphedeliste"/>
        <w:numPr>
          <w:ilvl w:val="0"/>
          <w:numId w:val="11"/>
        </w:numPr>
        <w:spacing w:before="120" w:after="120" w:line="360" w:lineRule="auto"/>
        <w:jc w:val="both"/>
        <w:rPr>
          <w:rFonts w:ascii="Times New Roman" w:hAnsi="Times New Roman" w:cs="Times New Roman"/>
          <w:b/>
          <w:i/>
          <w:sz w:val="24"/>
          <w:szCs w:val="24"/>
        </w:rPr>
      </w:pPr>
      <w:r w:rsidRPr="00D044FD">
        <w:rPr>
          <w:rFonts w:ascii="Times New Roman" w:hAnsi="Times New Roman" w:cs="Times New Roman"/>
          <w:b/>
          <w:i/>
          <w:sz w:val="24"/>
          <w:szCs w:val="24"/>
        </w:rPr>
        <w:t>DOCTRINE</w:t>
      </w:r>
    </w:p>
    <w:p w:rsidR="000A0B80" w:rsidRPr="00D044FD" w:rsidRDefault="003F7F26" w:rsidP="0098524B">
      <w:pPr>
        <w:pStyle w:val="CORPUSany"/>
        <w:spacing w:before="90" w:after="180" w:line="360" w:lineRule="auto"/>
        <w:rPr>
          <w:rStyle w:val="CORPUSanyCharacter"/>
          <w:rFonts w:ascii="Times New Roman" w:hAnsi="Times New Roman" w:cs="Times New Roman"/>
          <w:b/>
          <w:bCs/>
          <w:i/>
          <w:color w:val="auto"/>
        </w:rPr>
      </w:pPr>
      <w:r w:rsidRPr="00D044FD">
        <w:rPr>
          <w:rStyle w:val="CORPUSanyCharacter"/>
          <w:rFonts w:ascii="Times New Roman" w:hAnsi="Times New Roman" w:cs="Times New Roman"/>
          <w:b/>
          <w:bCs/>
          <w:i/>
          <w:color w:val="auto"/>
        </w:rPr>
        <w:t xml:space="preserve">Tentative de complicité. </w:t>
      </w:r>
    </w:p>
    <w:p w:rsidR="003F7F26" w:rsidRPr="00D044FD" w:rsidRDefault="000A0B80" w:rsidP="0098524B">
      <w:pPr>
        <w:pStyle w:val="CORPUSany"/>
        <w:spacing w:before="90" w:after="180" w:line="360" w:lineRule="auto"/>
        <w:rPr>
          <w:rFonts w:ascii="Times New Roman" w:hAnsi="Times New Roman" w:cs="Times New Roman"/>
          <w:i/>
          <w:color w:val="auto"/>
        </w:rPr>
      </w:pPr>
      <w:r w:rsidRPr="00D044FD">
        <w:rPr>
          <w:rStyle w:val="CORPUSanyCharacter"/>
          <w:rFonts w:ascii="Times New Roman" w:hAnsi="Times New Roman" w:cs="Times New Roman"/>
          <w:b/>
          <w:bCs/>
          <w:i/>
          <w:color w:val="auto"/>
        </w:rPr>
        <w:t>52.</w:t>
      </w:r>
      <w:r w:rsidR="003F7F26" w:rsidRPr="00D044FD">
        <w:rPr>
          <w:rStyle w:val="CORPUSanyCharacter"/>
          <w:rFonts w:ascii="Times New Roman" w:hAnsi="Times New Roman" w:cs="Times New Roman"/>
          <w:b/>
          <w:bCs/>
          <w:i/>
          <w:color w:val="auto"/>
        </w:rPr>
        <w:t xml:space="preserve"> </w:t>
      </w:r>
      <w:r w:rsidR="003F7F26" w:rsidRPr="00D044FD">
        <w:rPr>
          <w:rFonts w:ascii="Times New Roman" w:hAnsi="Times New Roman" w:cs="Times New Roman"/>
          <w:i/>
          <w:color w:val="auto"/>
        </w:rPr>
        <w:t xml:space="preserve">Le complice ne saurait, encore, être puni si le fait principal n'est pas punissable, parce que l'auteur de celui-ci s'est arrêté, dans la commission de l'infraction, au stade des actes préparatoires ou s'est volontairement désisté : la « tentative de complicité » n'est pas punissable (COMBALDIEU, Le problème de la tentative de complicité ou le hasard peut-il être arbitre de la répression ?, RSC 1959. 454. – GERTHOFFER, La tentative et la complicité, </w:t>
      </w:r>
      <w:r w:rsidR="003F7F26" w:rsidRPr="00D044FD">
        <w:rPr>
          <w:rStyle w:val="CORPUSanyCharacter"/>
          <w:rFonts w:ascii="Times New Roman" w:hAnsi="Times New Roman" w:cs="Times New Roman"/>
          <w:i/>
          <w:iCs/>
          <w:color w:val="auto"/>
        </w:rPr>
        <w:t>in</w:t>
      </w:r>
      <w:r w:rsidR="003F7F26" w:rsidRPr="00D044FD">
        <w:rPr>
          <w:rFonts w:ascii="Times New Roman" w:hAnsi="Times New Roman" w:cs="Times New Roman"/>
          <w:i/>
          <w:color w:val="auto"/>
        </w:rPr>
        <w:t xml:space="preserve"> Mélanges Patin, 1966, Cujas, p. 153). Celui qui s'est associé à l'entreprise délictueuse d'autrui échappe donc à la répression au titre de la complicité si l'acte principal ne répond pas aux exigences d'une tentative punissable (V. aff. Lacour : personne remettant </w:t>
      </w:r>
      <w:r w:rsidR="003F7F26" w:rsidRPr="00D044FD">
        <w:rPr>
          <w:rFonts w:ascii="Times New Roman" w:hAnsi="Times New Roman" w:cs="Times New Roman"/>
          <w:i/>
          <w:color w:val="auto"/>
        </w:rPr>
        <w:lastRenderedPageBreak/>
        <w:t>de l'argent à un tueur à gages pour qu'il abatte un tiers, or le tueur se désiste, de sorte que celui qui a remis l'argent n'est pas punissable comme complice, Crim. 25 oct. 1962, D. 1963. 221, note Bouzat ; JCP 1963. II. 12985, note Vouin ; RSC 1963. 553, obs. Légal. – V. aussi Crim. 23 mars 1978, Bull. crim. n</w:t>
      </w:r>
      <w:r w:rsidR="003F7F26" w:rsidRPr="00D044FD">
        <w:rPr>
          <w:rStyle w:val="CORPUSanyCharacter"/>
          <w:rFonts w:ascii="Times New Roman" w:hAnsi="Times New Roman" w:cs="Times New Roman"/>
          <w:i/>
          <w:color w:val="auto"/>
          <w:vertAlign w:val="superscript"/>
        </w:rPr>
        <w:t>o</w:t>
      </w:r>
      <w:r w:rsidR="003F7F26" w:rsidRPr="00D044FD">
        <w:rPr>
          <w:rFonts w:ascii="Times New Roman" w:hAnsi="Times New Roman" w:cs="Times New Roman"/>
          <w:i/>
          <w:color w:val="auto"/>
        </w:rPr>
        <w:t> 116). Il est des cas où cette solution peut paraître inopportune. Ainsi en va-t-il, en particulier, de l'hypothèse où l'acte de complicité a été un acte de provocation qui n'a pas été suivi d'effet, parce que l'auteur principal n'a pas persévéré dans son dessein criminel pour des motifs absolument étrangers au complice ou même contre la volonté de ce dernier. On sait (V. </w:t>
      </w:r>
      <w:r w:rsidR="003F7F26" w:rsidRPr="00D044FD">
        <w:rPr>
          <w:rStyle w:val="CORPUSanyCharacter"/>
          <w:rFonts w:ascii="Times New Roman" w:hAnsi="Times New Roman" w:cs="Times New Roman"/>
          <w:i/>
          <w:iCs/>
          <w:color w:val="auto"/>
        </w:rPr>
        <w:t>supra,</w:t>
      </w:r>
      <w:r w:rsidR="003F7F26" w:rsidRPr="00D044FD">
        <w:rPr>
          <w:rFonts w:ascii="Times New Roman" w:hAnsi="Times New Roman" w:cs="Times New Roman"/>
          <w:i/>
          <w:color w:val="auto"/>
        </w:rPr>
        <w:t xml:space="preserve"> n</w:t>
      </w:r>
      <w:r w:rsidR="003F7F26" w:rsidRPr="00D044FD">
        <w:rPr>
          <w:rStyle w:val="CORPUSanyCharacter"/>
          <w:rFonts w:ascii="Times New Roman" w:hAnsi="Times New Roman" w:cs="Times New Roman"/>
          <w:i/>
          <w:color w:val="auto"/>
          <w:vertAlign w:val="superscript"/>
        </w:rPr>
        <w:t>o</w:t>
      </w:r>
      <w:r w:rsidR="003F7F26" w:rsidRPr="00D044FD">
        <w:rPr>
          <w:rFonts w:ascii="Times New Roman" w:hAnsi="Times New Roman" w:cs="Times New Roman"/>
          <w:i/>
          <w:color w:val="auto"/>
        </w:rPr>
        <w:t> 11) que le législateur a finalement renoncé à introduire à cet égard une modification qui avait été envisagée et qui aurait conduit à incriminer l'instigation non suivie d'effet. Toutefois, à titre exceptionnel, la loi a pu ériger certaines provocations en délits distincts, permettant ainsi la répression de ce type de comportements quel que soit le résultat de la provocation, c'est-à-dire qu'elle ait ou n'ait pas été suivie d'effet (V. </w:t>
      </w:r>
      <w:r w:rsidR="003F7F26" w:rsidRPr="00D044FD">
        <w:rPr>
          <w:rStyle w:val="CORPUSanyCharacter"/>
          <w:rFonts w:ascii="Times New Roman" w:hAnsi="Times New Roman" w:cs="Times New Roman"/>
          <w:i/>
          <w:iCs/>
          <w:color w:val="auto"/>
        </w:rPr>
        <w:t>supra,</w:t>
      </w:r>
      <w:r w:rsidR="003F7F26" w:rsidRPr="00D044FD">
        <w:rPr>
          <w:rFonts w:ascii="Times New Roman" w:hAnsi="Times New Roman" w:cs="Times New Roman"/>
          <w:i/>
          <w:color w:val="auto"/>
        </w:rPr>
        <w:t xml:space="preserve"> n</w:t>
      </w:r>
      <w:r w:rsidR="003F7F26" w:rsidRPr="00D044FD">
        <w:rPr>
          <w:rStyle w:val="CORPUSanyCharacter"/>
          <w:rFonts w:ascii="Times New Roman" w:hAnsi="Times New Roman" w:cs="Times New Roman"/>
          <w:i/>
          <w:color w:val="auto"/>
          <w:vertAlign w:val="superscript"/>
        </w:rPr>
        <w:t>o</w:t>
      </w:r>
      <w:r w:rsidR="003F7F26" w:rsidRPr="00D044FD">
        <w:rPr>
          <w:rFonts w:ascii="Times New Roman" w:hAnsi="Times New Roman" w:cs="Times New Roman"/>
          <w:i/>
          <w:color w:val="auto"/>
        </w:rPr>
        <w:t> 6). À cet égard, on insistera particulièrement sur la création, par la loi n</w:t>
      </w:r>
      <w:r w:rsidR="003F7F26" w:rsidRPr="00D044FD">
        <w:rPr>
          <w:rStyle w:val="CORPUSanyCharacter"/>
          <w:rFonts w:ascii="Times New Roman" w:hAnsi="Times New Roman" w:cs="Times New Roman"/>
          <w:i/>
          <w:color w:val="auto"/>
          <w:vertAlign w:val="superscript"/>
        </w:rPr>
        <w:t>o</w:t>
      </w:r>
      <w:r w:rsidR="003F7F26" w:rsidRPr="00D044FD">
        <w:rPr>
          <w:rFonts w:ascii="Times New Roman" w:hAnsi="Times New Roman" w:cs="Times New Roman"/>
          <w:i/>
          <w:color w:val="auto"/>
        </w:rPr>
        <w:t> 2004-204 du 9 mars 2004 portant adaptation de la justice aux évolutions de la criminalité (JO 10 mars), du délit de provocation à un assassinat ou à un empoisonnement qui ne serait ni commis, ni tenté (C. pén., art. 221-5-1. – V. aussi la création, par la L. n</w:t>
      </w:r>
      <w:r w:rsidR="003F7F26" w:rsidRPr="00D044FD">
        <w:rPr>
          <w:rStyle w:val="CORPUSanyCharacter"/>
          <w:rFonts w:ascii="Times New Roman" w:hAnsi="Times New Roman" w:cs="Times New Roman"/>
          <w:i/>
          <w:color w:val="auto"/>
          <w:vertAlign w:val="superscript"/>
        </w:rPr>
        <w:t>o</w:t>
      </w:r>
      <w:r w:rsidR="003F7F26" w:rsidRPr="00D044FD">
        <w:rPr>
          <w:rFonts w:ascii="Times New Roman" w:hAnsi="Times New Roman" w:cs="Times New Roman"/>
          <w:i/>
          <w:color w:val="auto"/>
        </w:rPr>
        <w:t> 2006-399 du 4 avr. 2006 renforçant la prévention et la répression des violences au sein du couple ou commises contre les mineurs [JO 5 avr.], de l'art. 227-28-3 incriminant la provocation non suivie d'effet à certains crimes ou délits contre des mineurs – viol et autres agressions sexuelles, not.). En outre, il est aussi possible qu'un comportement qui ne pourrait pas être réprimé au titre de la complicité, faute de fait principal consommé ou tenté, puisse suffire à caractériser une association de malfaiteurs et être ainsi punissable (V. par ex. : Crim. 30 avr. 1996, n</w:t>
      </w:r>
      <w:r w:rsidR="003F7F26" w:rsidRPr="00D044FD">
        <w:rPr>
          <w:rStyle w:val="CORPUSanyCharacter"/>
          <w:rFonts w:ascii="Times New Roman" w:hAnsi="Times New Roman" w:cs="Times New Roman"/>
          <w:i/>
          <w:color w:val="auto"/>
          <w:vertAlign w:val="superscript"/>
        </w:rPr>
        <w:t>o</w:t>
      </w:r>
      <w:r w:rsidR="003F7F26" w:rsidRPr="00D044FD">
        <w:rPr>
          <w:rFonts w:ascii="Times New Roman" w:hAnsi="Times New Roman" w:cs="Times New Roman"/>
          <w:i/>
          <w:color w:val="auto"/>
        </w:rPr>
        <w:t> 94-86.107, Bull. crim. n</w:t>
      </w:r>
      <w:r w:rsidR="003F7F26" w:rsidRPr="00D044FD">
        <w:rPr>
          <w:rStyle w:val="CORPUSanyCharacter"/>
          <w:rFonts w:ascii="Times New Roman" w:hAnsi="Times New Roman" w:cs="Times New Roman"/>
          <w:i/>
          <w:color w:val="auto"/>
          <w:vertAlign w:val="superscript"/>
        </w:rPr>
        <w:t>o</w:t>
      </w:r>
      <w:r w:rsidR="003F7F26" w:rsidRPr="00D044FD">
        <w:rPr>
          <w:rFonts w:ascii="Times New Roman" w:hAnsi="Times New Roman" w:cs="Times New Roman"/>
          <w:i/>
          <w:color w:val="auto"/>
        </w:rPr>
        <w:t> 176 ; RSC 1997. 113, obs. Delmas-Saint-Hilaire ).</w:t>
      </w:r>
    </w:p>
    <w:p w:rsidR="003F7F26" w:rsidRPr="00D044FD" w:rsidRDefault="003F7F26" w:rsidP="0098524B">
      <w:pPr>
        <w:pStyle w:val="CORPUSany"/>
        <w:spacing w:before="90" w:after="180" w:line="360" w:lineRule="auto"/>
        <w:rPr>
          <w:rFonts w:ascii="Times New Roman" w:hAnsi="Times New Roman" w:cs="Times New Roman"/>
          <w:i/>
          <w:color w:val="auto"/>
        </w:rPr>
      </w:pPr>
      <w:r w:rsidRPr="00D044FD">
        <w:rPr>
          <w:rStyle w:val="CORPUSanyCharacter"/>
          <w:rFonts w:ascii="Times New Roman" w:hAnsi="Times New Roman" w:cs="Times New Roman"/>
          <w:b/>
          <w:bCs/>
          <w:i/>
          <w:color w:val="auto"/>
        </w:rPr>
        <w:t>53. </w:t>
      </w:r>
      <w:r w:rsidRPr="00D044FD">
        <w:rPr>
          <w:rFonts w:ascii="Times New Roman" w:hAnsi="Times New Roman" w:cs="Times New Roman"/>
          <w:i/>
          <w:color w:val="auto"/>
        </w:rPr>
        <w:t xml:space="preserve">En revanche, la complicité de tentative est, quant à elle, parfaitement punissable. En effet, dès lors que l'auteur principal en sera arrivé, dans son entreprise criminelle, au commencement d'exécution de la tentative punissable, il y aura un fait principal punissable, et celui qui aura participé à un acte préparatoire pourra lui aussi être réprimé (V. par ex. : Crim. 23 mai 1973, JCP 1974. II. 17675, note Mayer ; RSC 1974. 579, obs. Larguier. – Crim. 28 juin 1993, Dr. pénal 1993. 252, obs. Véron. – Crim. 4 et 11 juin 1998, Dr. pénal 1998. 142, obs. Véron). D'ailleurs, dans ce cas celui qui, après avoir provoqué l'infraction et participé aux actes préparatoires, aura entendu se désister, aura le plus grand mal à échapper à la répression, dès lors que l'auteur, lui, aura persévéré dans son projet criminel. </w:t>
      </w:r>
      <w:r w:rsidRPr="00D044FD">
        <w:rPr>
          <w:rFonts w:ascii="Times New Roman" w:hAnsi="Times New Roman" w:cs="Times New Roman"/>
          <w:i/>
          <w:color w:val="auto"/>
        </w:rPr>
        <w:lastRenderedPageBreak/>
        <w:t>Pour y parvenir, il lui faudra apporter la preuve qu'il a manifesté de manière positive sa volonté que l'infraction n'ait pas lieu (V. Crim. 16 juin 1955, RSC 1956. 99, obs. Légal ; JCP 1955. II. 8851, note Vouin).</w:t>
      </w:r>
    </w:p>
    <w:p w:rsidR="0098524B" w:rsidRPr="00D044FD" w:rsidRDefault="0098524B" w:rsidP="00F244DE">
      <w:pPr>
        <w:pStyle w:val="Titre1"/>
      </w:pPr>
      <w:r w:rsidRPr="00D044FD">
        <w:t xml:space="preserve"> </w:t>
      </w:r>
      <w:bookmarkStart w:id="11" w:name="_Toc521059393"/>
      <w:r w:rsidRPr="00D044FD">
        <w:t>La question du caractère direct de l'acte de complicité : le problème de la complicité de complicité</w:t>
      </w:r>
      <w:bookmarkEnd w:id="11"/>
    </w:p>
    <w:p w:rsidR="0098524B" w:rsidRPr="00D044FD" w:rsidRDefault="000A0B80" w:rsidP="0098524B">
      <w:pPr>
        <w:pStyle w:val="CORPUSany"/>
        <w:spacing w:line="360" w:lineRule="auto"/>
        <w:rPr>
          <w:rFonts w:ascii="Times New Roman" w:hAnsi="Times New Roman" w:cs="Times New Roman"/>
          <w:i/>
        </w:rPr>
      </w:pPr>
      <w:r w:rsidRPr="00D044FD">
        <w:rPr>
          <w:rFonts w:ascii="Times New Roman" w:hAnsi="Times New Roman" w:cs="Times New Roman"/>
          <w:b/>
          <w:bCs/>
          <w:i/>
        </w:rPr>
        <w:t>87. </w:t>
      </w:r>
      <w:r w:rsidR="0098524B" w:rsidRPr="00D044FD">
        <w:rPr>
          <w:rFonts w:ascii="Times New Roman" w:hAnsi="Times New Roman" w:cs="Times New Roman"/>
          <w:b/>
          <w:bCs/>
          <w:i/>
        </w:rPr>
        <w:t> </w:t>
      </w:r>
      <w:r w:rsidR="0098524B" w:rsidRPr="00D044FD">
        <w:rPr>
          <w:rFonts w:ascii="Times New Roman" w:hAnsi="Times New Roman" w:cs="Times New Roman"/>
          <w:i/>
        </w:rPr>
        <w:t>Il peut arriver que les actes de nature à constituer un cas de complicité apportent un concours, non pas à l'auteur principal de l'infraction lui-même, mais à un tiers qui en fera profiter l'auteur principal. Le tiers est certainement complice, mais la question se pose de savoir si celui qui a aidé ce tiers en connaissance de cause peut lui aussi être considéré comme complice (BAEK, Du concours indirect apporté à l'auteur d'une infraction, thèse, Paris, 1980). Il pourra s'agir de celui qui fournit l'arme ou le poison à un complice, ou de celui qui donne des renseignements, non pas au voleur, mais au complice de celui-ci.</w:t>
      </w:r>
    </w:p>
    <w:p w:rsidR="0098524B" w:rsidRPr="00D044FD" w:rsidRDefault="0098524B" w:rsidP="0098524B">
      <w:pPr>
        <w:pStyle w:val="CORPUSany"/>
        <w:spacing w:line="360" w:lineRule="auto"/>
        <w:rPr>
          <w:rFonts w:ascii="Times New Roman" w:hAnsi="Times New Roman" w:cs="Times New Roman"/>
          <w:i/>
        </w:rPr>
      </w:pPr>
      <w:r w:rsidRPr="00D044FD">
        <w:rPr>
          <w:rFonts w:ascii="Times New Roman" w:hAnsi="Times New Roman" w:cs="Times New Roman"/>
          <w:b/>
          <w:bCs/>
          <w:i/>
        </w:rPr>
        <w:t>88. </w:t>
      </w:r>
      <w:r w:rsidRPr="00D044FD">
        <w:rPr>
          <w:rFonts w:ascii="Times New Roman" w:hAnsi="Times New Roman" w:cs="Times New Roman"/>
          <w:i/>
        </w:rPr>
        <w:t xml:space="preserve">Certains auteurs ont prétendu que la complicité de complicité n'était pas punissable, parce que la complicité impliquerait une participation immédiate du complice et des relations directes avec l'auteur principal (V. GARÇON, </w:t>
      </w:r>
      <w:r w:rsidRPr="00D044FD">
        <w:rPr>
          <w:rFonts w:ascii="Times New Roman" w:hAnsi="Times New Roman" w:cs="Times New Roman"/>
          <w:i/>
          <w:iCs/>
        </w:rPr>
        <w:t>op. cit.,</w:t>
      </w:r>
      <w:r w:rsidRPr="00D044FD">
        <w:rPr>
          <w:rFonts w:ascii="Times New Roman" w:hAnsi="Times New Roman" w:cs="Times New Roman"/>
          <w:i/>
        </w:rPr>
        <w:t xml:space="preserve"> n</w:t>
      </w:r>
      <w:r w:rsidRPr="00D044FD">
        <w:rPr>
          <w:rFonts w:ascii="Times New Roman" w:hAnsi="Times New Roman" w:cs="Times New Roman"/>
          <w:i/>
          <w:vertAlign w:val="superscript"/>
        </w:rPr>
        <w:t>o</w:t>
      </w:r>
      <w:r w:rsidRPr="00D044FD">
        <w:rPr>
          <w:rFonts w:ascii="Times New Roman" w:hAnsi="Times New Roman" w:cs="Times New Roman"/>
          <w:i/>
        </w:rPr>
        <w:t> 276). Cette affirmation est discutée, et la jurisprudence est loin d'adopter une position aussi tranchée.</w:t>
      </w:r>
    </w:p>
    <w:p w:rsidR="0098524B" w:rsidRPr="00D044FD" w:rsidRDefault="0098524B" w:rsidP="0098524B">
      <w:pPr>
        <w:pStyle w:val="CORPUSany"/>
        <w:spacing w:line="360" w:lineRule="auto"/>
        <w:rPr>
          <w:rFonts w:ascii="Times New Roman" w:hAnsi="Times New Roman" w:cs="Times New Roman"/>
          <w:i/>
        </w:rPr>
      </w:pPr>
      <w:r w:rsidRPr="00D044FD">
        <w:rPr>
          <w:rFonts w:ascii="Times New Roman" w:hAnsi="Times New Roman" w:cs="Times New Roman"/>
          <w:b/>
          <w:bCs/>
          <w:i/>
        </w:rPr>
        <w:t>89. </w:t>
      </w:r>
      <w:r w:rsidRPr="00D044FD">
        <w:rPr>
          <w:rFonts w:ascii="Times New Roman" w:hAnsi="Times New Roman" w:cs="Times New Roman"/>
          <w:i/>
        </w:rPr>
        <w:t>Ce qui est certain, c'est que la répression est possible lorsque l'agent a bien l'intention d'apporter son aide à l'auteur principal, même s'il ne prête pas directement son concours à celui-ci mais le fait par le truchement d'un tiers (Crim. 15 déc. 2004, n</w:t>
      </w:r>
      <w:r w:rsidRPr="00D044FD">
        <w:rPr>
          <w:rFonts w:ascii="Times New Roman" w:hAnsi="Times New Roman" w:cs="Times New Roman"/>
          <w:i/>
          <w:vertAlign w:val="superscript"/>
        </w:rPr>
        <w:t>o</w:t>
      </w:r>
      <w:r w:rsidRPr="00D044FD">
        <w:rPr>
          <w:rFonts w:ascii="Times New Roman" w:hAnsi="Times New Roman" w:cs="Times New Roman"/>
          <w:i/>
        </w:rPr>
        <w:t> 04-81.684, Bull. crim. n</w:t>
      </w:r>
      <w:r w:rsidRPr="00D044FD">
        <w:rPr>
          <w:rFonts w:ascii="Times New Roman" w:hAnsi="Times New Roman" w:cs="Times New Roman"/>
          <w:i/>
          <w:vertAlign w:val="superscript"/>
        </w:rPr>
        <w:t>o</w:t>
      </w:r>
      <w:r w:rsidRPr="00D044FD">
        <w:rPr>
          <w:rFonts w:ascii="Times New Roman" w:hAnsi="Times New Roman" w:cs="Times New Roman"/>
          <w:i/>
        </w:rPr>
        <w:t> 322 ; RSC 2005. 298, obs. Vermelle  ; D. 2005. 2128, note Royer  ; RPDP 2005. 403, note Chevallier). Peu importe, par exemple, que les instructions n'aient pas été données directement à l'auteur principal, dès lors qu'elles ont bien été communiquées afin de faciliter l'exécution du projet criminel de celui-ci (Crim. 23 mai 1844, Bull. crim. n</w:t>
      </w:r>
      <w:r w:rsidRPr="00D044FD">
        <w:rPr>
          <w:rFonts w:ascii="Times New Roman" w:hAnsi="Times New Roman" w:cs="Times New Roman"/>
          <w:i/>
          <w:vertAlign w:val="superscript"/>
        </w:rPr>
        <w:t>o</w:t>
      </w:r>
      <w:r w:rsidRPr="00D044FD">
        <w:rPr>
          <w:rFonts w:ascii="Times New Roman" w:hAnsi="Times New Roman" w:cs="Times New Roman"/>
          <w:i/>
        </w:rPr>
        <w:t xml:space="preserve"> 179. – Crim. 22 juill. </w:t>
      </w:r>
      <w:r w:rsidRPr="00017738">
        <w:rPr>
          <w:rFonts w:ascii="Times New Roman" w:hAnsi="Times New Roman" w:cs="Times New Roman"/>
          <w:i/>
          <w:lang w:val="en-US"/>
        </w:rPr>
        <w:t xml:space="preserve">1943, JCP 1944. </w:t>
      </w:r>
      <w:r w:rsidRPr="008D1672">
        <w:rPr>
          <w:rFonts w:ascii="Times New Roman" w:hAnsi="Times New Roman" w:cs="Times New Roman"/>
          <w:i/>
          <w:lang w:val="pt-BR"/>
        </w:rPr>
        <w:t>II. 2651, 3</w:t>
      </w:r>
      <w:r w:rsidRPr="008D1672">
        <w:rPr>
          <w:rFonts w:ascii="Times New Roman" w:hAnsi="Times New Roman" w:cs="Times New Roman"/>
          <w:i/>
          <w:vertAlign w:val="superscript"/>
          <w:lang w:val="pt-BR"/>
        </w:rPr>
        <w:t>e</w:t>
      </w:r>
      <w:r w:rsidRPr="008D1672">
        <w:rPr>
          <w:rFonts w:ascii="Times New Roman" w:hAnsi="Times New Roman" w:cs="Times New Roman"/>
          <w:i/>
          <w:lang w:val="pt-BR"/>
        </w:rPr>
        <w:t> esp. – Crim. 30 mai 1989, Bull. crim. n</w:t>
      </w:r>
      <w:r w:rsidRPr="008D1672">
        <w:rPr>
          <w:rFonts w:ascii="Times New Roman" w:hAnsi="Times New Roman" w:cs="Times New Roman"/>
          <w:i/>
          <w:vertAlign w:val="superscript"/>
          <w:lang w:val="pt-BR"/>
        </w:rPr>
        <w:t>o</w:t>
      </w:r>
      <w:r w:rsidRPr="008D1672">
        <w:rPr>
          <w:rFonts w:ascii="Times New Roman" w:hAnsi="Times New Roman" w:cs="Times New Roman"/>
          <w:i/>
          <w:lang w:val="pt-BR"/>
        </w:rPr>
        <w:t xml:space="preserve"> 222 ; RSC 1990. 325, obs. </w:t>
      </w:r>
      <w:r w:rsidRPr="00D044FD">
        <w:rPr>
          <w:rFonts w:ascii="Times New Roman" w:hAnsi="Times New Roman" w:cs="Times New Roman"/>
          <w:i/>
        </w:rPr>
        <w:t>Vitu ).</w:t>
      </w:r>
    </w:p>
    <w:p w:rsidR="008F013F" w:rsidRPr="00D044FD" w:rsidRDefault="0098524B" w:rsidP="000A0B80">
      <w:pPr>
        <w:pStyle w:val="CORPUSany"/>
        <w:spacing w:line="360" w:lineRule="auto"/>
        <w:rPr>
          <w:rFonts w:ascii="Times New Roman" w:hAnsi="Times New Roman" w:cs="Times New Roman"/>
          <w:i/>
        </w:rPr>
      </w:pPr>
      <w:r w:rsidRPr="00D044FD">
        <w:rPr>
          <w:rFonts w:ascii="Times New Roman" w:hAnsi="Times New Roman" w:cs="Times New Roman"/>
          <w:b/>
          <w:bCs/>
          <w:i/>
        </w:rPr>
        <w:t>90. </w:t>
      </w:r>
      <w:r w:rsidRPr="00D044FD">
        <w:rPr>
          <w:rFonts w:ascii="Times New Roman" w:hAnsi="Times New Roman" w:cs="Times New Roman"/>
          <w:i/>
        </w:rPr>
        <w:t>En revanche, la solution est plus incertaine lorsque cette intention d'aider l'auteur n'est pas clairement établie. Si la participation est ainsi trop indirecte, il ne semble pas qu'il y ait de complicité punissable (LARGUIER, CONTE et MAISTRE DU CHAMBON, Droit pénal général, 21</w:t>
      </w:r>
      <w:r w:rsidRPr="00D044FD">
        <w:rPr>
          <w:rFonts w:ascii="Times New Roman" w:hAnsi="Times New Roman" w:cs="Times New Roman"/>
          <w:i/>
          <w:vertAlign w:val="superscript"/>
        </w:rPr>
        <w:t>e</w:t>
      </w:r>
      <w:r w:rsidRPr="00D044FD">
        <w:rPr>
          <w:rFonts w:ascii="Times New Roman" w:hAnsi="Times New Roman" w:cs="Times New Roman"/>
          <w:i/>
        </w:rPr>
        <w:t> éd., 2008, Dalloz, p. 77. – Crim. 4 janv. 1975, Gaz. Pal. 1975. 343, note J.-P. D. ; RSC 1976. 707, obs. Larguier). La chambre criminelle a pu toutefois laisser penser que la complicité de complicité puisse, dans tous les cas, être punie (Crim. 10 oct. 1988, Gaz. Pal. 1989. 1. 189, note Doucet ; JCP 1990. II. 21416, note Demidoff).</w:t>
      </w:r>
    </w:p>
    <w:p w:rsidR="00D044FD" w:rsidRPr="008F0A0A" w:rsidRDefault="00D044FD" w:rsidP="008F0A0A">
      <w:pPr>
        <w:spacing w:before="120" w:after="120" w:line="360" w:lineRule="auto"/>
        <w:ind w:left="120"/>
        <w:jc w:val="both"/>
        <w:rPr>
          <w:rFonts w:ascii="Times New Roman" w:hAnsi="Times New Roman" w:cs="Times New Roman"/>
          <w:i/>
          <w:color w:val="000000" w:themeColor="text1"/>
          <w:sz w:val="24"/>
          <w:szCs w:val="24"/>
        </w:rPr>
      </w:pPr>
      <w:r w:rsidRPr="00D40DA5">
        <w:rPr>
          <w:rFonts w:ascii="Times New Roman" w:hAnsi="Times New Roman" w:cs="Times New Roman"/>
          <w:i/>
          <w:color w:val="000000" w:themeColor="text1"/>
          <w:sz w:val="24"/>
          <w:szCs w:val="24"/>
        </w:rPr>
        <w:lastRenderedPageBreak/>
        <w:t xml:space="preserve">Cf. </w:t>
      </w:r>
      <w:r w:rsidRPr="00D40DA5">
        <w:rPr>
          <w:rFonts w:ascii="Times New Roman" w:hAnsi="Times New Roman" w:cs="Times New Roman"/>
          <w:b/>
          <w:bCs/>
          <w:i/>
          <w:color w:val="000000" w:themeColor="text1"/>
          <w:sz w:val="24"/>
          <w:szCs w:val="24"/>
        </w:rPr>
        <w:t xml:space="preserve">Répertoire de droit pénal et de procédure pénale, </w:t>
      </w:r>
      <w:r w:rsidRPr="00D40DA5">
        <w:rPr>
          <w:rFonts w:ascii="Times New Roman" w:hAnsi="Times New Roman" w:cs="Times New Roman"/>
          <w:i/>
          <w:color w:val="000000" w:themeColor="text1"/>
          <w:sz w:val="24"/>
          <w:szCs w:val="24"/>
        </w:rPr>
        <w:t xml:space="preserve">«complicité », Stéphanie FOURNIER, </w:t>
      </w:r>
      <w:r w:rsidRPr="00D40DA5">
        <w:rPr>
          <w:rFonts w:ascii="Times New Roman" w:hAnsi="Times New Roman" w:cs="Times New Roman"/>
          <w:i/>
          <w:iCs/>
          <w:color w:val="000000" w:themeColor="text1"/>
          <w:sz w:val="24"/>
          <w:szCs w:val="24"/>
        </w:rPr>
        <w:t>Professeur à la Faculté de droit de l'Université Pierre Mendès-France, Grenoble II</w:t>
      </w:r>
      <w:r w:rsidRPr="00D40DA5">
        <w:rPr>
          <w:rFonts w:ascii="Times New Roman" w:hAnsi="Times New Roman" w:cs="Times New Roman"/>
          <w:i/>
          <w:color w:val="000000" w:themeColor="text1"/>
          <w:sz w:val="24"/>
          <w:szCs w:val="24"/>
        </w:rPr>
        <w:t>, janvier 2013.</w:t>
      </w:r>
    </w:p>
    <w:p w:rsidR="00401B3D" w:rsidRPr="00F93435" w:rsidRDefault="00401B3D"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47</w:t>
      </w:r>
    </w:p>
    <w:p w:rsidR="00401B3D" w:rsidRPr="002E2B1E" w:rsidRDefault="00401B3D" w:rsidP="0098524B">
      <w:pPr>
        <w:spacing w:line="360" w:lineRule="auto"/>
        <w:jc w:val="both"/>
        <w:rPr>
          <w:rFonts w:ascii="Times New Roman" w:hAnsi="Times New Roman" w:cs="Times New Roman"/>
          <w:b/>
          <w:sz w:val="24"/>
          <w:szCs w:val="24"/>
        </w:rPr>
      </w:pPr>
      <w:r w:rsidRPr="002E2B1E">
        <w:rPr>
          <w:rFonts w:ascii="Times New Roman" w:hAnsi="Times New Roman" w:cs="Times New Roman"/>
          <w:b/>
          <w:sz w:val="24"/>
          <w:szCs w:val="24"/>
        </w:rPr>
        <w:t>Ceux qui, connaissant la conduite criminelle des malfaiteurs exerçant des brigandages ou des violences contre la sûreté de l'Etat, la paix publique, les personnes ou les propriétés, fournissent habituellement logement, lieu de retraite ou de réunion, seront punis comme leurs complices.</w:t>
      </w:r>
    </w:p>
    <w:p w:rsidR="00401B3D" w:rsidRPr="002E2B1E" w:rsidRDefault="00401B3D" w:rsidP="0098524B">
      <w:pPr>
        <w:spacing w:line="360" w:lineRule="auto"/>
        <w:jc w:val="both"/>
        <w:rPr>
          <w:rFonts w:ascii="Times New Roman" w:hAnsi="Times New Roman" w:cs="Times New Roman"/>
          <w:b/>
          <w:sz w:val="24"/>
          <w:szCs w:val="24"/>
        </w:rPr>
      </w:pPr>
      <w:r w:rsidRPr="002E2B1E">
        <w:rPr>
          <w:rFonts w:ascii="Times New Roman" w:hAnsi="Times New Roman" w:cs="Times New Roman"/>
          <w:b/>
          <w:sz w:val="24"/>
          <w:szCs w:val="24"/>
        </w:rPr>
        <w:t>Ceux qui, en dehors des cas prévus ci-dessus, auront sciemment recelé une</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personne qu'ils savaient avoir</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commis un crime ou qu'ils</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savaient recherchée de ce fait</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par la justice ou qui auront</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soustrait ou tenté de</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soustraire le criminel à</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l'arrestation ou aux</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recherches, ou l'auront aidé à</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se cacher ou prendre la fuite,</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seront punis d'un emprisonnement</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de deux mois à trois</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ans et d'une amende de</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25.000 francs à 1 million de</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francs ou de l'une de ces</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deux peines seulement, le</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tout sans préjudice des</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peines plus fortes s'il y échet.</w:t>
      </w:r>
    </w:p>
    <w:p w:rsidR="00401B3D" w:rsidRPr="002E2B1E" w:rsidRDefault="00401B3D" w:rsidP="0098524B">
      <w:pPr>
        <w:spacing w:line="360" w:lineRule="auto"/>
        <w:jc w:val="both"/>
        <w:rPr>
          <w:rFonts w:ascii="Times New Roman" w:hAnsi="Times New Roman" w:cs="Times New Roman"/>
          <w:b/>
          <w:sz w:val="24"/>
          <w:szCs w:val="24"/>
        </w:rPr>
      </w:pPr>
      <w:r w:rsidRPr="002E2B1E">
        <w:rPr>
          <w:rFonts w:ascii="Times New Roman" w:hAnsi="Times New Roman" w:cs="Times New Roman"/>
          <w:b/>
          <w:sz w:val="24"/>
          <w:szCs w:val="24"/>
        </w:rPr>
        <w:t>Sont exceptés des</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dispositions de l'alinéa</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précédent les parents ou</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alliés du criminel jusqu'au</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quatrième degré</w:t>
      </w:r>
      <w:r w:rsidR="00B6204E"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inclusivement.</w:t>
      </w:r>
    </w:p>
    <w:p w:rsidR="00817C79" w:rsidRPr="00D044FD" w:rsidRDefault="00817C79" w:rsidP="00D044FD">
      <w:pPr>
        <w:pStyle w:val="Paragraphedeliste"/>
        <w:numPr>
          <w:ilvl w:val="0"/>
          <w:numId w:val="1"/>
        </w:numPr>
        <w:spacing w:before="120" w:after="120" w:line="360" w:lineRule="auto"/>
        <w:jc w:val="both"/>
        <w:rPr>
          <w:rFonts w:ascii="Times New Roman" w:hAnsi="Times New Roman" w:cs="Times New Roman"/>
          <w:i/>
          <w:sz w:val="24"/>
          <w:szCs w:val="24"/>
        </w:rPr>
      </w:pPr>
      <w:r w:rsidRPr="001028BF">
        <w:rPr>
          <w:rFonts w:ascii="Times New Roman" w:hAnsi="Times New Roman" w:cs="Times New Roman"/>
          <w:i/>
          <w:sz w:val="24"/>
          <w:szCs w:val="24"/>
        </w:rPr>
        <w:t>C’est</w:t>
      </w:r>
      <w:r>
        <w:rPr>
          <w:rFonts w:ascii="Times New Roman" w:hAnsi="Times New Roman" w:cs="Times New Roman"/>
          <w:i/>
          <w:sz w:val="24"/>
          <w:szCs w:val="24"/>
        </w:rPr>
        <w:t xml:space="preserve"> à bon droit qu’une Cour d’Assises a déclaré coupable un accusé qui a reconnu avoir </w:t>
      </w:r>
      <w:r w:rsidRPr="00871E1D">
        <w:rPr>
          <w:rFonts w:ascii="Times New Roman" w:eastAsia="Calibri" w:hAnsi="Times New Roman" w:cs="Times New Roman"/>
          <w:i/>
          <w:sz w:val="24"/>
          <w:szCs w:val="24"/>
        </w:rPr>
        <w:t>donné le local qui lui servait de magasin comme gîte</w:t>
      </w:r>
      <w:r>
        <w:rPr>
          <w:rFonts w:ascii="Times New Roman" w:hAnsi="Times New Roman" w:cs="Times New Roman"/>
          <w:i/>
          <w:sz w:val="24"/>
          <w:szCs w:val="24"/>
        </w:rPr>
        <w:t xml:space="preserve"> à ses coaccusés</w:t>
      </w:r>
      <w:r w:rsidRPr="00871E1D">
        <w:rPr>
          <w:rFonts w:ascii="Times New Roman" w:eastAsia="Calibri" w:hAnsi="Times New Roman" w:cs="Times New Roman"/>
          <w:i/>
          <w:sz w:val="24"/>
          <w:szCs w:val="24"/>
        </w:rPr>
        <w:t xml:space="preserve"> bien que connaissant les agissements criminels de la bande qu’ils ont formée</w:t>
      </w:r>
      <w:r>
        <w:rPr>
          <w:rFonts w:ascii="Times New Roman" w:hAnsi="Times New Roman" w:cs="Times New Roman"/>
          <w:i/>
          <w:sz w:val="24"/>
          <w:szCs w:val="24"/>
        </w:rPr>
        <w:t>.</w:t>
      </w:r>
      <w:r w:rsidRPr="00871E1D">
        <w:rPr>
          <w:rFonts w:ascii="Times New Roman" w:eastAsia="Calibri" w:hAnsi="Times New Roman" w:cs="Times New Roman"/>
          <w:i/>
          <w:sz w:val="24"/>
          <w:szCs w:val="24"/>
        </w:rPr>
        <w:t> </w:t>
      </w:r>
    </w:p>
    <w:p w:rsidR="00BC7282" w:rsidRPr="00D044FD" w:rsidRDefault="00817C79" w:rsidP="00F244DE">
      <w:pPr>
        <w:pStyle w:val="Titre1"/>
      </w:pPr>
      <w:bookmarkStart w:id="12" w:name="_Toc521059394"/>
      <w:r w:rsidRPr="00BC7282">
        <w:t>Ministère Public contre</w:t>
      </w:r>
      <w:r w:rsidRPr="00BC7282">
        <w:rPr>
          <w:rFonts w:eastAsia="Times New Roman"/>
          <w:sz w:val="28"/>
          <w:szCs w:val="20"/>
        </w:rPr>
        <w:t xml:space="preserve"> </w:t>
      </w:r>
      <w:r>
        <w:rPr>
          <w:rFonts w:eastAsia="Calibri"/>
          <w:color w:val="000000"/>
        </w:rPr>
        <w:t xml:space="preserve">Latyr </w:t>
      </w:r>
      <w:r w:rsidRPr="00BC7282">
        <w:rPr>
          <w:rFonts w:eastAsia="Calibri"/>
          <w:color w:val="000000"/>
        </w:rPr>
        <w:t>MBAYE</w:t>
      </w:r>
      <w:r w:rsidRPr="00BC7282">
        <w:t xml:space="preserve">, Arrêt de la Cour d’Assises de Dakar N° </w:t>
      </w:r>
      <w:r>
        <w:t>40 du 28</w:t>
      </w:r>
      <w:r w:rsidRPr="00BC7282">
        <w:t xml:space="preserve"> </w:t>
      </w:r>
      <w:r>
        <w:t xml:space="preserve">avril 2011 </w:t>
      </w:r>
      <w:r w:rsidRPr="00BC7282">
        <w:t>(Inédit).</w:t>
      </w:r>
      <w:bookmarkEnd w:id="12"/>
    </w:p>
    <w:p w:rsidR="001028BF" w:rsidRPr="001028BF" w:rsidRDefault="00B761AD" w:rsidP="0098524B">
      <w:pPr>
        <w:pStyle w:val="Paragraphedeliste"/>
        <w:numPr>
          <w:ilvl w:val="0"/>
          <w:numId w:val="1"/>
        </w:numPr>
        <w:spacing w:before="120" w:after="120" w:line="360" w:lineRule="auto"/>
        <w:jc w:val="both"/>
        <w:rPr>
          <w:rFonts w:ascii="Times New Roman" w:hAnsi="Times New Roman" w:cs="Times New Roman"/>
          <w:sz w:val="24"/>
          <w:szCs w:val="24"/>
        </w:rPr>
      </w:pPr>
      <w:r w:rsidRPr="00B761AD">
        <w:rPr>
          <w:rFonts w:ascii="Times New Roman" w:hAnsi="Times New Roman" w:cs="Times New Roman"/>
          <w:i/>
          <w:sz w:val="24"/>
          <w:szCs w:val="24"/>
        </w:rPr>
        <w:t>A jugé</w:t>
      </w:r>
      <w:r w:rsidR="004A5FDA">
        <w:rPr>
          <w:rFonts w:ascii="Times New Roman" w:hAnsi="Times New Roman" w:cs="Times New Roman"/>
          <w:i/>
          <w:sz w:val="24"/>
          <w:szCs w:val="24"/>
        </w:rPr>
        <w:t>,</w:t>
      </w:r>
      <w:r w:rsidRPr="00B761AD">
        <w:rPr>
          <w:rFonts w:ascii="Times New Roman" w:hAnsi="Times New Roman" w:cs="Times New Roman"/>
          <w:i/>
          <w:sz w:val="24"/>
          <w:szCs w:val="24"/>
        </w:rPr>
        <w:t xml:space="preserve"> une </w:t>
      </w:r>
      <w:r w:rsidR="00592BB4" w:rsidRPr="00B761AD">
        <w:rPr>
          <w:rFonts w:ascii="Times New Roman" w:hAnsi="Times New Roman" w:cs="Times New Roman"/>
          <w:i/>
          <w:sz w:val="24"/>
          <w:szCs w:val="24"/>
        </w:rPr>
        <w:t xml:space="preserve">Cour </w:t>
      </w:r>
      <w:r>
        <w:rPr>
          <w:rFonts w:ascii="Times New Roman" w:hAnsi="Times New Roman" w:cs="Times New Roman"/>
          <w:i/>
          <w:sz w:val="24"/>
          <w:szCs w:val="24"/>
        </w:rPr>
        <w:t>d’assises</w:t>
      </w:r>
      <w:r w:rsidR="004A5FDA">
        <w:rPr>
          <w:rFonts w:ascii="Times New Roman" w:hAnsi="Times New Roman" w:cs="Times New Roman"/>
          <w:i/>
          <w:sz w:val="24"/>
          <w:szCs w:val="24"/>
        </w:rPr>
        <w:t>,</w:t>
      </w:r>
      <w:r>
        <w:rPr>
          <w:rFonts w:ascii="Times New Roman" w:hAnsi="Times New Roman" w:cs="Times New Roman"/>
          <w:i/>
          <w:sz w:val="24"/>
          <w:szCs w:val="24"/>
        </w:rPr>
        <w:t xml:space="preserve"> que doit être acquittée une dame qui ne </w:t>
      </w:r>
      <w:r w:rsidRPr="00B761AD">
        <w:rPr>
          <w:rFonts w:ascii="Times New Roman" w:eastAsia="Calibri" w:hAnsi="Times New Roman" w:cs="Times New Roman"/>
          <w:i/>
          <w:sz w:val="24"/>
          <w:szCs w:val="24"/>
        </w:rPr>
        <w:t xml:space="preserve">savait </w:t>
      </w:r>
      <w:r>
        <w:rPr>
          <w:rFonts w:ascii="Times New Roman" w:hAnsi="Times New Roman" w:cs="Times New Roman"/>
          <w:i/>
          <w:sz w:val="24"/>
          <w:szCs w:val="24"/>
        </w:rPr>
        <w:t>pas que l’</w:t>
      </w:r>
      <w:r w:rsidRPr="00B761AD">
        <w:rPr>
          <w:rFonts w:ascii="Times New Roman" w:eastAsia="Calibri" w:hAnsi="Times New Roman" w:cs="Times New Roman"/>
          <w:i/>
          <w:sz w:val="24"/>
          <w:szCs w:val="24"/>
        </w:rPr>
        <w:t xml:space="preserve"> accusé avec lequel elle sortait et recevait régulièrement à son domicile avait commis le crime qui lui est reproché et était de ce fait recherché par la justice ou qu’elle l’a soustrait ou tenté de le soustraire à l’arrestation ou aux recherches ou l’a aidé à se cacher ou prendre la fuite</w:t>
      </w:r>
      <w:r>
        <w:rPr>
          <w:rFonts w:ascii="Times New Roman" w:hAnsi="Times New Roman" w:cs="Times New Roman"/>
          <w:i/>
          <w:sz w:val="24"/>
          <w:szCs w:val="24"/>
        </w:rPr>
        <w:t>.</w:t>
      </w:r>
    </w:p>
    <w:p w:rsidR="00073B7C" w:rsidRDefault="001028BF" w:rsidP="00F244DE">
      <w:pPr>
        <w:pStyle w:val="Titre1"/>
      </w:pPr>
      <w:r w:rsidRPr="001028BF">
        <w:lastRenderedPageBreak/>
        <w:t xml:space="preserve"> </w:t>
      </w:r>
      <w:bookmarkStart w:id="13" w:name="_Toc521059395"/>
      <w:r w:rsidRPr="001028BF">
        <w:t>Ministère Public contre</w:t>
      </w:r>
      <w:r w:rsidRPr="001028BF">
        <w:rPr>
          <w:rFonts w:eastAsia="Times New Roman"/>
          <w:sz w:val="28"/>
          <w:szCs w:val="20"/>
        </w:rPr>
        <w:t xml:space="preserve"> </w:t>
      </w:r>
      <w:r w:rsidRPr="001028BF">
        <w:rPr>
          <w:rFonts w:eastAsia="Calibri"/>
          <w:color w:val="000000"/>
        </w:rPr>
        <w:t>Papa Cissé MBAYE et autres</w:t>
      </w:r>
      <w:r w:rsidRPr="001028BF">
        <w:t>, Arrêt de la Cour d’Assises de Dakar N° 24  du 18 mai 2012 (Inédit).</w:t>
      </w:r>
      <w:bookmarkEnd w:id="13"/>
    </w:p>
    <w:p w:rsidR="00073B7C" w:rsidRPr="001028BF" w:rsidRDefault="00534EF5" w:rsidP="0098524B">
      <w:pPr>
        <w:pStyle w:val="Paragraphedeliste"/>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i/>
          <w:sz w:val="24"/>
          <w:szCs w:val="24"/>
        </w:rPr>
        <w:t>Une cour d’appel a</w:t>
      </w:r>
      <w:r w:rsidR="00073B7C" w:rsidRPr="00B761AD">
        <w:rPr>
          <w:rFonts w:ascii="Times New Roman" w:hAnsi="Times New Roman" w:cs="Times New Roman"/>
          <w:i/>
          <w:sz w:val="24"/>
          <w:szCs w:val="24"/>
        </w:rPr>
        <w:t xml:space="preserve"> </w:t>
      </w:r>
      <w:r>
        <w:rPr>
          <w:rFonts w:ascii="Times New Roman" w:hAnsi="Times New Roman" w:cs="Times New Roman"/>
          <w:i/>
          <w:sz w:val="24"/>
          <w:szCs w:val="24"/>
        </w:rPr>
        <w:t xml:space="preserve">déclaré </w:t>
      </w:r>
      <w:r w:rsidR="00073B7C">
        <w:rPr>
          <w:rFonts w:ascii="Times New Roman" w:hAnsi="Times New Roman" w:cs="Times New Roman"/>
          <w:i/>
          <w:sz w:val="24"/>
          <w:szCs w:val="24"/>
        </w:rPr>
        <w:t xml:space="preserve">irrecevable l’appel du ministère public pour avoir été fait hors délai </w:t>
      </w:r>
      <w:r w:rsidR="00BA1BE4">
        <w:rPr>
          <w:rFonts w:ascii="Times New Roman" w:hAnsi="Times New Roman" w:cs="Times New Roman"/>
          <w:i/>
          <w:sz w:val="24"/>
          <w:szCs w:val="24"/>
        </w:rPr>
        <w:t xml:space="preserve">concernant un jugement rendu le 27 novembre 2002 par le tribunal régional de Kolda qui, saisi par un procès verbal </w:t>
      </w:r>
      <w:r w:rsidR="00BA1189">
        <w:rPr>
          <w:rFonts w:ascii="Times New Roman" w:hAnsi="Times New Roman" w:cs="Times New Roman"/>
          <w:i/>
          <w:sz w:val="24"/>
          <w:szCs w:val="24"/>
        </w:rPr>
        <w:t>d’</w:t>
      </w:r>
      <w:r w:rsidR="00BA1BE4">
        <w:rPr>
          <w:rFonts w:ascii="Times New Roman" w:hAnsi="Times New Roman" w:cs="Times New Roman"/>
          <w:i/>
          <w:sz w:val="24"/>
          <w:szCs w:val="24"/>
        </w:rPr>
        <w:t>interrogatoire de flagrant délit</w:t>
      </w:r>
      <w:r w:rsidR="0098524B">
        <w:rPr>
          <w:rFonts w:ascii="Times New Roman" w:hAnsi="Times New Roman" w:cs="Times New Roman"/>
          <w:i/>
          <w:sz w:val="24"/>
          <w:szCs w:val="24"/>
        </w:rPr>
        <w:t>,</w:t>
      </w:r>
      <w:r w:rsidR="00BA1189">
        <w:rPr>
          <w:rFonts w:ascii="Times New Roman" w:hAnsi="Times New Roman" w:cs="Times New Roman"/>
          <w:i/>
          <w:sz w:val="24"/>
          <w:szCs w:val="24"/>
        </w:rPr>
        <w:t xml:space="preserve"> a condamné</w:t>
      </w:r>
      <w:r w:rsidR="00BA1BE4">
        <w:rPr>
          <w:rFonts w:ascii="Times New Roman" w:hAnsi="Times New Roman" w:cs="Times New Roman"/>
          <w:i/>
          <w:sz w:val="24"/>
          <w:szCs w:val="24"/>
        </w:rPr>
        <w:t xml:space="preserve"> </w:t>
      </w:r>
      <w:r w:rsidR="00BA1189">
        <w:rPr>
          <w:rFonts w:ascii="Times New Roman" w:hAnsi="Times New Roman" w:cs="Times New Roman"/>
          <w:i/>
          <w:sz w:val="24"/>
          <w:szCs w:val="24"/>
        </w:rPr>
        <w:t xml:space="preserve">un prévenu pour recel de malfaiteurs à quatre (04) d’emprisonnement ferme. </w:t>
      </w:r>
      <w:r w:rsidR="00B07A3E" w:rsidRPr="00BC7282">
        <w:rPr>
          <w:rFonts w:ascii="Times New Roman" w:hAnsi="Times New Roman" w:cs="Times New Roman"/>
          <w:b/>
          <w:i/>
          <w:color w:val="000000" w:themeColor="text1"/>
          <w:sz w:val="24"/>
          <w:szCs w:val="24"/>
        </w:rPr>
        <w:t>(Inédit).</w:t>
      </w:r>
      <w:r w:rsidR="00BA1189">
        <w:rPr>
          <w:rFonts w:ascii="Times New Roman" w:hAnsi="Times New Roman" w:cs="Times New Roman"/>
          <w:i/>
          <w:sz w:val="24"/>
          <w:szCs w:val="24"/>
        </w:rPr>
        <w:t xml:space="preserve"> </w:t>
      </w:r>
      <w:r w:rsidR="00BA1BE4">
        <w:rPr>
          <w:rFonts w:ascii="Times New Roman" w:hAnsi="Times New Roman" w:cs="Times New Roman"/>
          <w:i/>
          <w:sz w:val="24"/>
          <w:szCs w:val="24"/>
        </w:rPr>
        <w:t xml:space="preserve"> </w:t>
      </w:r>
    </w:p>
    <w:p w:rsidR="00073B7C" w:rsidRPr="00817C79" w:rsidRDefault="00073B7C" w:rsidP="00F244DE">
      <w:pPr>
        <w:pStyle w:val="Titre1"/>
      </w:pPr>
      <w:r w:rsidRPr="001028BF">
        <w:t xml:space="preserve"> </w:t>
      </w:r>
      <w:bookmarkStart w:id="14" w:name="_Toc521059396"/>
      <w:r w:rsidRPr="001028BF">
        <w:t>Ministère Public contre</w:t>
      </w:r>
      <w:r w:rsidRPr="001028BF">
        <w:rPr>
          <w:rFonts w:eastAsia="Times New Roman"/>
          <w:sz w:val="28"/>
          <w:szCs w:val="20"/>
        </w:rPr>
        <w:t xml:space="preserve"> </w:t>
      </w:r>
      <w:r w:rsidR="00BA1189">
        <w:rPr>
          <w:rFonts w:eastAsia="Calibri"/>
          <w:color w:val="000000"/>
        </w:rPr>
        <w:t xml:space="preserve">Diouma SOW </w:t>
      </w:r>
      <w:r w:rsidRPr="001028BF">
        <w:rPr>
          <w:rFonts w:eastAsia="Calibri"/>
          <w:color w:val="000000"/>
        </w:rPr>
        <w:t xml:space="preserve">et </w:t>
      </w:r>
      <w:r w:rsidR="00BA1189">
        <w:rPr>
          <w:rFonts w:eastAsia="Calibri"/>
          <w:color w:val="000000"/>
        </w:rPr>
        <w:t>Ousmane DIAMANKA</w:t>
      </w:r>
      <w:r w:rsidR="00BA1189">
        <w:t xml:space="preserve">, Arrêt de la Cour d’Appel </w:t>
      </w:r>
      <w:r w:rsidRPr="001028BF">
        <w:t xml:space="preserve"> de Dakar N° </w:t>
      </w:r>
      <w:r w:rsidR="00576A72">
        <w:t>1593</w:t>
      </w:r>
      <w:r w:rsidRPr="001028BF">
        <w:t xml:space="preserve">  du </w:t>
      </w:r>
      <w:r w:rsidR="00576A72">
        <w:t>04</w:t>
      </w:r>
      <w:r w:rsidRPr="001028BF">
        <w:t xml:space="preserve"> </w:t>
      </w:r>
      <w:r w:rsidR="00576A72">
        <w:t xml:space="preserve">décembre 2013 </w:t>
      </w:r>
      <w:r w:rsidRPr="001028BF">
        <w:t xml:space="preserve"> (Inédit).</w:t>
      </w:r>
      <w:bookmarkEnd w:id="14"/>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48</w:t>
      </w:r>
    </w:p>
    <w:p w:rsidR="00B6204E" w:rsidRPr="003168B7" w:rsidRDefault="00B6204E" w:rsidP="0098524B">
      <w:pPr>
        <w:spacing w:line="360" w:lineRule="auto"/>
        <w:jc w:val="both"/>
        <w:rPr>
          <w:rFonts w:ascii="Times New Roman" w:hAnsi="Times New Roman" w:cs="Times New Roman"/>
          <w:b/>
          <w:sz w:val="24"/>
          <w:szCs w:val="24"/>
        </w:rPr>
      </w:pPr>
      <w:r w:rsidRPr="003168B7">
        <w:rPr>
          <w:rFonts w:ascii="Times New Roman" w:hAnsi="Times New Roman" w:cs="Times New Roman"/>
          <w:b/>
          <w:sz w:val="24"/>
          <w:szCs w:val="24"/>
        </w:rPr>
        <w:t>Sans préjudice de l'application des articles 88 et 89 du présent Code, sera puni d'un emprisonnement de deux mois à trois ans et d'une amende de 25.000 francs à 1 million francs ou de l'une de ces deux peines seulement, celui qui, ayant connaissance d'un crime déjà tenté ou consommé n'aura pas, alors qu'il était encore possible d'en prévenir ou limiter les effets ou qu'on pouvait penser que les coupables ou l'un d'eux commettraient de nouveaux crimes qu'une dénonciation pourrait prévenir, averti aussitôt les autorités administratives ou judiciaires.</w:t>
      </w:r>
    </w:p>
    <w:p w:rsidR="00B6204E" w:rsidRDefault="00B6204E" w:rsidP="0098524B">
      <w:pPr>
        <w:spacing w:line="360" w:lineRule="auto"/>
        <w:jc w:val="both"/>
        <w:rPr>
          <w:rFonts w:ascii="Times New Roman" w:hAnsi="Times New Roman" w:cs="Times New Roman"/>
          <w:b/>
          <w:sz w:val="24"/>
          <w:szCs w:val="24"/>
        </w:rPr>
      </w:pPr>
      <w:r w:rsidRPr="003168B7">
        <w:rPr>
          <w:rFonts w:ascii="Times New Roman" w:hAnsi="Times New Roman" w:cs="Times New Roman"/>
          <w:b/>
          <w:sz w:val="24"/>
          <w:szCs w:val="24"/>
        </w:rPr>
        <w:t>Sont exceptés des</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dispositions du présent article</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les parents ou alliés, jusqu'au</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quatrième degré</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inclusivement, des auteurs ou</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complices du crime ou de la</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tentative sauf en ce qui</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concerne les crimes commis</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sur les mineurs de quinze</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ans.</w:t>
      </w:r>
    </w:p>
    <w:p w:rsidR="00445945" w:rsidRPr="00445945" w:rsidRDefault="004B1274" w:rsidP="0098524B">
      <w:pPr>
        <w:pStyle w:val="Paragraphedeliste"/>
        <w:numPr>
          <w:ilvl w:val="0"/>
          <w:numId w:val="1"/>
        </w:numPr>
        <w:spacing w:before="120" w:after="120" w:line="360" w:lineRule="auto"/>
        <w:jc w:val="both"/>
        <w:rPr>
          <w:rFonts w:ascii="Times New Roman" w:hAnsi="Times New Roman" w:cs="Times New Roman"/>
          <w:b/>
          <w:i/>
          <w:color w:val="000000" w:themeColor="text1"/>
          <w:sz w:val="24"/>
          <w:szCs w:val="24"/>
        </w:rPr>
      </w:pPr>
      <w:r w:rsidRPr="00445945">
        <w:rPr>
          <w:rFonts w:ascii="Times New Roman" w:hAnsi="Times New Roman" w:cs="Times New Roman"/>
          <w:i/>
          <w:sz w:val="24"/>
          <w:szCs w:val="24"/>
        </w:rPr>
        <w:t>A jugé, une chambre criminelle</w:t>
      </w:r>
      <w:r w:rsidR="00EA4D0F" w:rsidRPr="00445945">
        <w:rPr>
          <w:rFonts w:ascii="Times New Roman" w:hAnsi="Times New Roman" w:cs="Times New Roman"/>
          <w:i/>
          <w:sz w:val="24"/>
          <w:szCs w:val="24"/>
        </w:rPr>
        <w:t>,</w:t>
      </w:r>
      <w:r w:rsidRPr="00445945">
        <w:rPr>
          <w:rFonts w:ascii="Times New Roman" w:hAnsi="Times New Roman" w:cs="Times New Roman"/>
          <w:i/>
          <w:sz w:val="24"/>
          <w:szCs w:val="24"/>
        </w:rPr>
        <w:t xml:space="preserve"> qu’un accusé qui a subtilisé le téléphone portable d’une </w:t>
      </w:r>
      <w:r w:rsidR="00EA4D0F" w:rsidRPr="00445945">
        <w:rPr>
          <w:rFonts w:ascii="Times New Roman" w:hAnsi="Times New Roman" w:cs="Times New Roman"/>
          <w:i/>
          <w:sz w:val="24"/>
          <w:szCs w:val="24"/>
        </w:rPr>
        <w:t xml:space="preserve">personne qu’il  savait décédée des suites de violences résultant d’une bagarre l’ayant opposé </w:t>
      </w:r>
      <w:r w:rsidR="00445945">
        <w:rPr>
          <w:rFonts w:ascii="Times New Roman" w:hAnsi="Times New Roman" w:cs="Times New Roman"/>
          <w:i/>
          <w:sz w:val="24"/>
          <w:szCs w:val="24"/>
        </w:rPr>
        <w:t>à</w:t>
      </w:r>
      <w:r w:rsidR="00EA4D0F" w:rsidRPr="00445945">
        <w:rPr>
          <w:rFonts w:ascii="Times New Roman" w:hAnsi="Times New Roman" w:cs="Times New Roman"/>
          <w:i/>
          <w:sz w:val="24"/>
          <w:szCs w:val="24"/>
        </w:rPr>
        <w:t xml:space="preserve"> un autre individu </w:t>
      </w:r>
      <w:r w:rsidR="00445945">
        <w:rPr>
          <w:rFonts w:ascii="Times New Roman" w:hAnsi="Times New Roman" w:cs="Times New Roman"/>
          <w:i/>
          <w:sz w:val="24"/>
          <w:szCs w:val="24"/>
        </w:rPr>
        <w:t>et qui n’</w:t>
      </w:r>
      <w:r w:rsidR="007C3CF4">
        <w:rPr>
          <w:rFonts w:ascii="Times New Roman" w:hAnsi="Times New Roman" w:cs="Times New Roman"/>
          <w:i/>
          <w:sz w:val="24"/>
          <w:szCs w:val="24"/>
        </w:rPr>
        <w:t xml:space="preserve">en </w:t>
      </w:r>
      <w:r w:rsidR="00445945">
        <w:rPr>
          <w:rFonts w:ascii="Times New Roman" w:hAnsi="Times New Roman" w:cs="Times New Roman"/>
          <w:i/>
          <w:sz w:val="24"/>
          <w:szCs w:val="24"/>
        </w:rPr>
        <w:t>a pas informé</w:t>
      </w:r>
      <w:r w:rsidR="00EA4D0F" w:rsidRPr="00445945">
        <w:rPr>
          <w:rFonts w:ascii="Times New Roman" w:hAnsi="Times New Roman" w:cs="Times New Roman"/>
          <w:i/>
          <w:sz w:val="24"/>
          <w:szCs w:val="24"/>
        </w:rPr>
        <w:t xml:space="preserve">  les autorités administratives ou judiciaires, </w:t>
      </w:r>
      <w:r w:rsidRPr="00445945">
        <w:rPr>
          <w:rFonts w:ascii="Times New Roman" w:hAnsi="Times New Roman" w:cs="Times New Roman"/>
          <w:i/>
          <w:sz w:val="24"/>
          <w:szCs w:val="24"/>
        </w:rPr>
        <w:t xml:space="preserve">est coupable </w:t>
      </w:r>
      <w:r w:rsidR="00EA4D0F" w:rsidRPr="00445945">
        <w:rPr>
          <w:rFonts w:ascii="Times New Roman" w:hAnsi="Times New Roman" w:cs="Times New Roman"/>
          <w:i/>
          <w:sz w:val="24"/>
          <w:szCs w:val="24"/>
        </w:rPr>
        <w:t>du délit de non dénon</w:t>
      </w:r>
      <w:r w:rsidR="00445945" w:rsidRPr="00445945">
        <w:rPr>
          <w:rFonts w:ascii="Times New Roman" w:hAnsi="Times New Roman" w:cs="Times New Roman"/>
          <w:i/>
          <w:sz w:val="24"/>
          <w:szCs w:val="24"/>
        </w:rPr>
        <w:t>c</w:t>
      </w:r>
      <w:r w:rsidR="00EA4D0F" w:rsidRPr="00445945">
        <w:rPr>
          <w:rFonts w:ascii="Times New Roman" w:hAnsi="Times New Roman" w:cs="Times New Roman"/>
          <w:i/>
          <w:sz w:val="24"/>
          <w:szCs w:val="24"/>
        </w:rPr>
        <w:t>iation</w:t>
      </w:r>
      <w:r w:rsidR="00445945">
        <w:rPr>
          <w:rFonts w:ascii="Times New Roman" w:hAnsi="Times New Roman" w:cs="Times New Roman"/>
          <w:i/>
          <w:sz w:val="24"/>
          <w:szCs w:val="24"/>
        </w:rPr>
        <w:t xml:space="preserve"> de crime.</w:t>
      </w:r>
    </w:p>
    <w:p w:rsidR="004B1274" w:rsidRPr="0098524B" w:rsidRDefault="004B1274" w:rsidP="00F244DE">
      <w:pPr>
        <w:pStyle w:val="Titre1"/>
      </w:pPr>
      <w:bookmarkStart w:id="15" w:name="_Toc521059397"/>
      <w:r w:rsidRPr="00445945">
        <w:t>Ministère Public</w:t>
      </w:r>
      <w:r w:rsidR="00164232">
        <w:t xml:space="preserve"> et Touba DIOP</w:t>
      </w:r>
      <w:r w:rsidRPr="00445945">
        <w:t xml:space="preserve"> contre</w:t>
      </w:r>
      <w:r w:rsidRPr="00445945">
        <w:rPr>
          <w:rFonts w:eastAsia="Times New Roman"/>
          <w:sz w:val="28"/>
          <w:szCs w:val="20"/>
        </w:rPr>
        <w:t xml:space="preserve"> </w:t>
      </w:r>
      <w:r w:rsidRPr="00445945">
        <w:rPr>
          <w:rFonts w:eastAsia="Calibri"/>
          <w:color w:val="000000"/>
        </w:rPr>
        <w:t>Ousmane</w:t>
      </w:r>
      <w:r w:rsidR="008F4D77">
        <w:rPr>
          <w:rFonts w:eastAsia="Calibri"/>
          <w:color w:val="000000"/>
        </w:rPr>
        <w:t xml:space="preserve"> KONTE et</w:t>
      </w:r>
      <w:r w:rsidR="008F4D77" w:rsidRPr="008F4D77">
        <w:rPr>
          <w:rFonts w:ascii="Tunga" w:eastAsia="Times New Roman" w:hAnsi="Tunga"/>
        </w:rPr>
        <w:t xml:space="preserve"> </w:t>
      </w:r>
      <w:r w:rsidR="008F4D77" w:rsidRPr="008F4D77">
        <w:rPr>
          <w:rFonts w:eastAsia="Calibri"/>
          <w:color w:val="000000"/>
        </w:rPr>
        <w:t>Cheikh NIANG</w:t>
      </w:r>
      <w:r w:rsidR="008F4D77">
        <w:rPr>
          <w:rFonts w:eastAsia="Calibri"/>
          <w:color w:val="000000"/>
        </w:rPr>
        <w:t xml:space="preserve"> </w:t>
      </w:r>
      <w:r w:rsidRPr="00445945">
        <w:t>,</w:t>
      </w:r>
      <w:r w:rsidR="008F4D77" w:rsidRPr="008F4D77">
        <w:rPr>
          <w:rFonts w:ascii="Tunga" w:eastAsia="Times New Roman" w:hAnsi="Tunga" w:cs="Tunga"/>
        </w:rPr>
        <w:t xml:space="preserve"> </w:t>
      </w:r>
      <w:r w:rsidR="008F4D77" w:rsidRPr="008F4D77">
        <w:t>Jugement N°51</w:t>
      </w:r>
      <w:r w:rsidR="008F4D77">
        <w:t xml:space="preserve"> </w:t>
      </w:r>
      <w:r w:rsidRPr="00445945">
        <w:t xml:space="preserve">du 04 </w:t>
      </w:r>
      <w:r w:rsidR="008F4D77">
        <w:t xml:space="preserve">juillet  2017 de la chambre criminelle du TGIHC de Dakar </w:t>
      </w:r>
      <w:r w:rsidRPr="00445945">
        <w:t xml:space="preserve"> (Inédit).</w:t>
      </w:r>
      <w:bookmarkEnd w:id="15"/>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49</w:t>
      </w:r>
    </w:p>
    <w:p w:rsidR="00B6204E" w:rsidRPr="003168B7" w:rsidRDefault="00B6204E" w:rsidP="0098524B">
      <w:pPr>
        <w:spacing w:line="360" w:lineRule="auto"/>
        <w:jc w:val="both"/>
        <w:rPr>
          <w:rFonts w:ascii="Times New Roman" w:hAnsi="Times New Roman" w:cs="Times New Roman"/>
          <w:b/>
          <w:sz w:val="24"/>
          <w:szCs w:val="24"/>
        </w:rPr>
      </w:pPr>
      <w:r w:rsidRPr="003168B7">
        <w:rPr>
          <w:rFonts w:ascii="Times New Roman" w:hAnsi="Times New Roman" w:cs="Times New Roman"/>
          <w:b/>
          <w:sz w:val="24"/>
          <w:szCs w:val="24"/>
        </w:rPr>
        <w:t>Sans préjudice de</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l'application, le cas échéant,</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des peines plus fortes</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prévues par le présent Code</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et les lois spéciales, sera puni</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d'un emprisonnement de trois</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mois à cinq ans et d'une</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amende de 25.000 francs à 1</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million de francs, ou de l'une</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de ces deux peines</w:t>
      </w:r>
      <w:r w:rsidR="009D022B"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seulement, quiconque,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Pouvant empêcher par son</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action immédiate, sans risque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lastRenderedPageBreak/>
        <w:t>pour lui ou pour les tiers, soit</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un fait qualifié crime, soit un</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délit contre l'intégrité</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corporelle de la personne,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s'abstient volontairement de</w:t>
      </w:r>
      <w:r w:rsidR="006F6319"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le faire.</w:t>
      </w:r>
    </w:p>
    <w:p w:rsidR="00B6204E" w:rsidRPr="003168B7" w:rsidRDefault="00B6204E" w:rsidP="0098524B">
      <w:pPr>
        <w:spacing w:line="360" w:lineRule="auto"/>
        <w:jc w:val="both"/>
        <w:rPr>
          <w:rFonts w:ascii="Times New Roman" w:hAnsi="Times New Roman" w:cs="Times New Roman"/>
          <w:b/>
          <w:sz w:val="24"/>
          <w:szCs w:val="24"/>
        </w:rPr>
      </w:pPr>
      <w:r w:rsidRPr="003168B7">
        <w:rPr>
          <w:rFonts w:ascii="Times New Roman" w:hAnsi="Times New Roman" w:cs="Times New Roman"/>
          <w:b/>
          <w:sz w:val="24"/>
          <w:szCs w:val="24"/>
        </w:rPr>
        <w:t>Sera puni des mêmes</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peines quiconque s'abstient</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volontairement de porter à</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une personne en péril</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l'assistance que, sans risque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pour lui ni pour les tiers, il</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pouvait lui prêter, soit par son</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action personnelle, soit en</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provoquant un secours.</w:t>
      </w:r>
    </w:p>
    <w:p w:rsidR="00B6204E" w:rsidRPr="003168B7" w:rsidRDefault="00B6204E" w:rsidP="0098524B">
      <w:pPr>
        <w:spacing w:line="360" w:lineRule="auto"/>
        <w:jc w:val="both"/>
        <w:rPr>
          <w:rFonts w:ascii="Times New Roman" w:hAnsi="Times New Roman" w:cs="Times New Roman"/>
          <w:b/>
          <w:sz w:val="24"/>
          <w:szCs w:val="24"/>
        </w:rPr>
      </w:pPr>
      <w:r w:rsidRPr="003168B7">
        <w:rPr>
          <w:rFonts w:ascii="Times New Roman" w:hAnsi="Times New Roman" w:cs="Times New Roman"/>
          <w:b/>
          <w:sz w:val="24"/>
          <w:szCs w:val="24"/>
        </w:rPr>
        <w:t>Sera puni des mêmes</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peines celui qui, connaissant</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la preuve de l'innocence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d'une personne incarcérée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préventivement ou jugée pour</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crime ou délit, s'abstient</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volontairement d'en apporter</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aussitôt le témoignage aux</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autorités de justice ou de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police. Toutefois, aucune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peine ne sera prononcée</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contre celui qui apportera son</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témoignage tardivement,</w:t>
      </w:r>
      <w:r w:rsidR="002D3D74" w:rsidRPr="003168B7">
        <w:rPr>
          <w:rFonts w:ascii="Times New Roman" w:hAnsi="Times New Roman" w:cs="Times New Roman"/>
          <w:b/>
          <w:sz w:val="24"/>
          <w:szCs w:val="24"/>
        </w:rPr>
        <w:t xml:space="preserve"> </w:t>
      </w:r>
      <w:r w:rsidRPr="003168B7">
        <w:rPr>
          <w:rFonts w:ascii="Times New Roman" w:hAnsi="Times New Roman" w:cs="Times New Roman"/>
          <w:b/>
          <w:sz w:val="24"/>
          <w:szCs w:val="24"/>
        </w:rPr>
        <w:t>mais spontanément.</w:t>
      </w:r>
    </w:p>
    <w:p w:rsidR="001C739D" w:rsidRPr="006326CA" w:rsidRDefault="00B6204E" w:rsidP="0098524B">
      <w:pPr>
        <w:spacing w:before="120" w:after="120" w:line="360" w:lineRule="auto"/>
        <w:jc w:val="both"/>
        <w:rPr>
          <w:rFonts w:ascii="Times New Roman" w:hAnsi="Times New Roman" w:cs="Times New Roman"/>
          <w:b/>
          <w:i/>
          <w:color w:val="000000" w:themeColor="text1"/>
          <w:sz w:val="24"/>
          <w:szCs w:val="24"/>
        </w:rPr>
      </w:pPr>
      <w:r w:rsidRPr="0098524B">
        <w:rPr>
          <w:rFonts w:ascii="Times New Roman" w:hAnsi="Times New Roman" w:cs="Times New Roman"/>
          <w:b/>
          <w:sz w:val="24"/>
          <w:szCs w:val="24"/>
        </w:rPr>
        <w:t>Sont exemptés de la</w:t>
      </w:r>
      <w:r w:rsidR="002D3D74" w:rsidRPr="0098524B">
        <w:rPr>
          <w:rFonts w:ascii="Times New Roman" w:hAnsi="Times New Roman" w:cs="Times New Roman"/>
          <w:b/>
          <w:sz w:val="24"/>
          <w:szCs w:val="24"/>
        </w:rPr>
        <w:t xml:space="preserve"> </w:t>
      </w:r>
      <w:r w:rsidRPr="0098524B">
        <w:rPr>
          <w:rFonts w:ascii="Times New Roman" w:hAnsi="Times New Roman" w:cs="Times New Roman"/>
          <w:b/>
          <w:sz w:val="24"/>
          <w:szCs w:val="24"/>
        </w:rPr>
        <w:t>disposition de l'alinéa</w:t>
      </w:r>
      <w:r w:rsidR="002D3D74" w:rsidRPr="0098524B">
        <w:rPr>
          <w:rFonts w:ascii="Times New Roman" w:hAnsi="Times New Roman" w:cs="Times New Roman"/>
          <w:b/>
          <w:sz w:val="24"/>
          <w:szCs w:val="24"/>
        </w:rPr>
        <w:t xml:space="preserve"> </w:t>
      </w:r>
      <w:r w:rsidRPr="0098524B">
        <w:rPr>
          <w:rFonts w:ascii="Times New Roman" w:hAnsi="Times New Roman" w:cs="Times New Roman"/>
          <w:b/>
          <w:sz w:val="24"/>
          <w:szCs w:val="24"/>
        </w:rPr>
        <w:t>précédent le coupable du fait</w:t>
      </w:r>
      <w:r w:rsidR="002D3D74" w:rsidRPr="0098524B">
        <w:rPr>
          <w:rFonts w:ascii="Times New Roman" w:hAnsi="Times New Roman" w:cs="Times New Roman"/>
          <w:b/>
          <w:sz w:val="24"/>
          <w:szCs w:val="24"/>
        </w:rPr>
        <w:t xml:space="preserve"> </w:t>
      </w:r>
      <w:r w:rsidRPr="0098524B">
        <w:rPr>
          <w:rFonts w:ascii="Times New Roman" w:hAnsi="Times New Roman" w:cs="Times New Roman"/>
          <w:b/>
          <w:sz w:val="24"/>
          <w:szCs w:val="24"/>
        </w:rPr>
        <w:t>qui motivait la poursuite, ses</w:t>
      </w:r>
      <w:r w:rsidR="002D3D74" w:rsidRPr="0098524B">
        <w:rPr>
          <w:rFonts w:ascii="Times New Roman" w:hAnsi="Times New Roman" w:cs="Times New Roman"/>
          <w:b/>
          <w:sz w:val="24"/>
          <w:szCs w:val="24"/>
        </w:rPr>
        <w:t xml:space="preserve"> </w:t>
      </w:r>
      <w:r w:rsidRPr="0098524B">
        <w:rPr>
          <w:rFonts w:ascii="Times New Roman" w:hAnsi="Times New Roman" w:cs="Times New Roman"/>
          <w:b/>
          <w:sz w:val="24"/>
          <w:szCs w:val="24"/>
        </w:rPr>
        <w:t>co-auteurs, ses complices et</w:t>
      </w:r>
      <w:r w:rsidR="002D3D74" w:rsidRPr="0098524B">
        <w:rPr>
          <w:rFonts w:ascii="Times New Roman" w:hAnsi="Times New Roman" w:cs="Times New Roman"/>
          <w:b/>
          <w:sz w:val="24"/>
          <w:szCs w:val="24"/>
        </w:rPr>
        <w:t xml:space="preserve"> </w:t>
      </w:r>
      <w:r w:rsidRPr="0098524B">
        <w:rPr>
          <w:rFonts w:ascii="Times New Roman" w:hAnsi="Times New Roman" w:cs="Times New Roman"/>
          <w:b/>
          <w:sz w:val="24"/>
          <w:szCs w:val="24"/>
        </w:rPr>
        <w:t>les parents ou alliés de ces</w:t>
      </w:r>
      <w:r w:rsidR="002D3D74" w:rsidRPr="0098524B">
        <w:rPr>
          <w:rFonts w:ascii="Times New Roman" w:hAnsi="Times New Roman" w:cs="Times New Roman"/>
          <w:b/>
          <w:sz w:val="24"/>
          <w:szCs w:val="24"/>
        </w:rPr>
        <w:t xml:space="preserve"> </w:t>
      </w:r>
      <w:r w:rsidRPr="0098524B">
        <w:rPr>
          <w:rFonts w:ascii="Times New Roman" w:hAnsi="Times New Roman" w:cs="Times New Roman"/>
          <w:b/>
          <w:sz w:val="24"/>
          <w:szCs w:val="24"/>
        </w:rPr>
        <w:t>personnes jusqu'au quatrième</w:t>
      </w:r>
      <w:r w:rsidR="002D3D74" w:rsidRPr="0098524B">
        <w:rPr>
          <w:rFonts w:ascii="Times New Roman" w:hAnsi="Times New Roman" w:cs="Times New Roman"/>
          <w:b/>
          <w:sz w:val="24"/>
          <w:szCs w:val="24"/>
        </w:rPr>
        <w:t xml:space="preserve"> </w:t>
      </w:r>
      <w:r w:rsidRPr="0098524B">
        <w:rPr>
          <w:rFonts w:ascii="Times New Roman" w:hAnsi="Times New Roman" w:cs="Times New Roman"/>
          <w:b/>
          <w:sz w:val="24"/>
          <w:szCs w:val="24"/>
        </w:rPr>
        <w:t>degré inclusivement.</w:t>
      </w:r>
    </w:p>
    <w:p w:rsidR="001C739D" w:rsidRPr="00381ABD" w:rsidRDefault="001C739D" w:rsidP="0098524B">
      <w:pPr>
        <w:pStyle w:val="Paragraphedeliste"/>
        <w:numPr>
          <w:ilvl w:val="0"/>
          <w:numId w:val="1"/>
        </w:numPr>
        <w:spacing w:before="120" w:after="120" w:line="360" w:lineRule="auto"/>
        <w:jc w:val="both"/>
        <w:rPr>
          <w:rFonts w:ascii="Times New Roman" w:hAnsi="Times New Roman" w:cs="Times New Roman"/>
          <w:b/>
          <w:i/>
          <w:color w:val="000000" w:themeColor="text1"/>
          <w:sz w:val="24"/>
          <w:szCs w:val="24"/>
        </w:rPr>
      </w:pPr>
      <w:r w:rsidRPr="00381ABD">
        <w:rPr>
          <w:rFonts w:ascii="Times New Roman" w:hAnsi="Times New Roman" w:cs="Times New Roman"/>
          <w:i/>
          <w:color w:val="000000" w:themeColor="text1"/>
          <w:sz w:val="24"/>
          <w:szCs w:val="24"/>
        </w:rPr>
        <w:t xml:space="preserve"> A jugé, une chambre criminelle,</w:t>
      </w:r>
      <w:r w:rsidR="006D5C97" w:rsidRPr="00381ABD">
        <w:rPr>
          <w:rFonts w:ascii="Times New Roman" w:hAnsi="Times New Roman" w:cs="Times New Roman"/>
          <w:i/>
          <w:color w:val="000000" w:themeColor="text1"/>
          <w:sz w:val="24"/>
          <w:szCs w:val="24"/>
        </w:rPr>
        <w:t xml:space="preserve"> que l’accusé qui a extirpé de son </w:t>
      </w:r>
      <w:r w:rsidR="00154B44" w:rsidRPr="00381ABD">
        <w:rPr>
          <w:rFonts w:ascii="Times New Roman" w:hAnsi="Times New Roman" w:cs="Times New Roman"/>
          <w:i/>
          <w:color w:val="000000" w:themeColor="text1"/>
          <w:sz w:val="24"/>
          <w:szCs w:val="24"/>
        </w:rPr>
        <w:t>véhicule un individu grièvement blessé par des agresseur</w:t>
      </w:r>
      <w:r w:rsidR="006F0DD4" w:rsidRPr="00381ABD">
        <w:rPr>
          <w:rFonts w:ascii="Times New Roman" w:hAnsi="Times New Roman" w:cs="Times New Roman"/>
          <w:i/>
          <w:color w:val="000000" w:themeColor="text1"/>
          <w:sz w:val="24"/>
          <w:szCs w:val="24"/>
        </w:rPr>
        <w:t>s</w:t>
      </w:r>
      <w:r w:rsidR="00154B44" w:rsidRPr="00381ABD">
        <w:rPr>
          <w:rFonts w:ascii="Times New Roman" w:hAnsi="Times New Roman" w:cs="Times New Roman"/>
          <w:i/>
          <w:color w:val="000000" w:themeColor="text1"/>
          <w:sz w:val="24"/>
          <w:szCs w:val="24"/>
        </w:rPr>
        <w:t xml:space="preserve"> et qui a succomb</w:t>
      </w:r>
      <w:r w:rsidR="006F0DD4" w:rsidRPr="00381ABD">
        <w:rPr>
          <w:rFonts w:ascii="Times New Roman" w:hAnsi="Times New Roman" w:cs="Times New Roman"/>
          <w:i/>
          <w:color w:val="000000" w:themeColor="text1"/>
          <w:sz w:val="24"/>
          <w:szCs w:val="24"/>
        </w:rPr>
        <w:t>é de</w:t>
      </w:r>
      <w:r w:rsidR="00381ABD" w:rsidRPr="00381ABD">
        <w:rPr>
          <w:rFonts w:ascii="Times New Roman" w:hAnsi="Times New Roman" w:cs="Times New Roman"/>
          <w:i/>
          <w:color w:val="000000" w:themeColor="text1"/>
          <w:sz w:val="24"/>
          <w:szCs w:val="24"/>
        </w:rPr>
        <w:t>s suites de</w:t>
      </w:r>
      <w:r w:rsidR="006F0DD4" w:rsidRPr="00381ABD">
        <w:rPr>
          <w:rFonts w:ascii="Times New Roman" w:hAnsi="Times New Roman" w:cs="Times New Roman"/>
          <w:i/>
          <w:color w:val="000000" w:themeColor="text1"/>
          <w:sz w:val="24"/>
          <w:szCs w:val="24"/>
        </w:rPr>
        <w:t xml:space="preserve"> ses blessures</w:t>
      </w:r>
      <w:r w:rsidR="00381ABD" w:rsidRPr="00381ABD">
        <w:rPr>
          <w:rFonts w:ascii="Times New Roman" w:hAnsi="Times New Roman" w:cs="Times New Roman"/>
          <w:i/>
          <w:color w:val="000000" w:themeColor="text1"/>
          <w:sz w:val="24"/>
          <w:szCs w:val="24"/>
        </w:rPr>
        <w:t>,</w:t>
      </w:r>
      <w:r w:rsidR="006F0DD4" w:rsidRPr="00381ABD">
        <w:rPr>
          <w:rFonts w:ascii="Times New Roman" w:hAnsi="Times New Roman" w:cs="Times New Roman"/>
          <w:i/>
          <w:color w:val="000000" w:themeColor="text1"/>
          <w:sz w:val="24"/>
          <w:szCs w:val="24"/>
        </w:rPr>
        <w:t xml:space="preserve"> </w:t>
      </w:r>
      <w:r w:rsidR="00154B44" w:rsidRPr="00381ABD">
        <w:rPr>
          <w:rFonts w:ascii="Times New Roman" w:hAnsi="Times New Roman" w:cs="Times New Roman"/>
          <w:i/>
          <w:color w:val="000000" w:themeColor="text1"/>
          <w:sz w:val="24"/>
          <w:szCs w:val="24"/>
        </w:rPr>
        <w:t xml:space="preserve"> est coupable du délit de non </w:t>
      </w:r>
      <w:r w:rsidR="006F0DD4" w:rsidRPr="00381ABD">
        <w:rPr>
          <w:rFonts w:ascii="Times New Roman" w:hAnsi="Times New Roman" w:cs="Times New Roman"/>
          <w:i/>
          <w:color w:val="000000" w:themeColor="text1"/>
          <w:sz w:val="24"/>
          <w:szCs w:val="24"/>
        </w:rPr>
        <w:t>assistance à personne en danger.</w:t>
      </w:r>
      <w:r w:rsidR="00154B44" w:rsidRPr="00381ABD">
        <w:rPr>
          <w:rFonts w:ascii="Times New Roman" w:hAnsi="Times New Roman" w:cs="Times New Roman"/>
          <w:i/>
          <w:color w:val="000000" w:themeColor="text1"/>
          <w:sz w:val="24"/>
          <w:szCs w:val="24"/>
        </w:rPr>
        <w:t xml:space="preserve"> </w:t>
      </w:r>
    </w:p>
    <w:p w:rsidR="001C739D" w:rsidRPr="00381ABD" w:rsidRDefault="001C739D" w:rsidP="0098524B">
      <w:pPr>
        <w:spacing w:before="120" w:after="120" w:line="360" w:lineRule="auto"/>
        <w:jc w:val="both"/>
        <w:rPr>
          <w:rFonts w:ascii="Times New Roman" w:hAnsi="Times New Roman" w:cs="Times New Roman"/>
          <w:b/>
          <w:i/>
          <w:color w:val="000000" w:themeColor="text1"/>
          <w:sz w:val="24"/>
          <w:szCs w:val="24"/>
        </w:rPr>
      </w:pPr>
      <w:r w:rsidRPr="00381ABD">
        <w:rPr>
          <w:rFonts w:ascii="Times New Roman" w:hAnsi="Times New Roman" w:cs="Times New Roman"/>
          <w:b/>
          <w:i/>
          <w:color w:val="000000" w:themeColor="text1"/>
          <w:sz w:val="24"/>
          <w:szCs w:val="24"/>
        </w:rPr>
        <w:t xml:space="preserve">Ministère Public et </w:t>
      </w:r>
      <w:r w:rsidR="006326CA" w:rsidRPr="00381ABD">
        <w:rPr>
          <w:rFonts w:ascii="Times New Roman" w:hAnsi="Times New Roman" w:cs="Times New Roman"/>
          <w:b/>
          <w:i/>
          <w:color w:val="000000" w:themeColor="text1"/>
          <w:sz w:val="24"/>
          <w:szCs w:val="24"/>
        </w:rPr>
        <w:t xml:space="preserve">Adama DIALLO et Katim TOURE </w:t>
      </w:r>
      <w:r w:rsidRPr="00381ABD">
        <w:rPr>
          <w:rFonts w:ascii="Times New Roman" w:hAnsi="Times New Roman" w:cs="Times New Roman"/>
          <w:b/>
          <w:i/>
          <w:color w:val="000000" w:themeColor="text1"/>
          <w:sz w:val="24"/>
          <w:szCs w:val="24"/>
        </w:rPr>
        <w:t>contre</w:t>
      </w:r>
      <w:r w:rsidR="006326CA" w:rsidRPr="00381ABD">
        <w:rPr>
          <w:rFonts w:ascii="Times New Roman" w:hAnsi="Times New Roman" w:cs="Times New Roman"/>
          <w:b/>
          <w:color w:val="000000" w:themeColor="text1"/>
          <w:sz w:val="24"/>
          <w:szCs w:val="24"/>
        </w:rPr>
        <w:t xml:space="preserve"> </w:t>
      </w:r>
      <w:r w:rsidR="006326CA" w:rsidRPr="00381ABD">
        <w:rPr>
          <w:rFonts w:ascii="Times New Roman" w:hAnsi="Times New Roman" w:cs="Times New Roman"/>
          <w:b/>
          <w:i/>
          <w:color w:val="000000" w:themeColor="text1"/>
          <w:sz w:val="24"/>
          <w:szCs w:val="24"/>
        </w:rPr>
        <w:t>Madické DIEYE, Assane DANSO, Baba BÂ</w:t>
      </w:r>
      <w:r w:rsidRPr="00381ABD">
        <w:rPr>
          <w:rFonts w:ascii="Times New Roman" w:eastAsia="Times New Roman" w:hAnsi="Times New Roman" w:cs="Times New Roman"/>
          <w:i/>
          <w:color w:val="000000" w:themeColor="text1"/>
          <w:sz w:val="24"/>
          <w:szCs w:val="24"/>
        </w:rPr>
        <w:t xml:space="preserve"> </w:t>
      </w:r>
      <w:r w:rsidRPr="00381ABD">
        <w:rPr>
          <w:rFonts w:ascii="Times New Roman" w:eastAsia="Calibri" w:hAnsi="Times New Roman" w:cs="Times New Roman"/>
          <w:b/>
          <w:i/>
          <w:color w:val="000000" w:themeColor="text1"/>
          <w:sz w:val="24"/>
          <w:szCs w:val="24"/>
        </w:rPr>
        <w:t>et</w:t>
      </w:r>
      <w:r w:rsidR="006326CA" w:rsidRPr="00381ABD">
        <w:rPr>
          <w:rFonts w:ascii="Times New Roman" w:eastAsia="Calibri" w:hAnsi="Times New Roman" w:cs="Times New Roman"/>
          <w:b/>
          <w:i/>
          <w:color w:val="000000" w:themeColor="text1"/>
          <w:sz w:val="24"/>
          <w:szCs w:val="24"/>
        </w:rPr>
        <w:t xml:space="preserve"> </w:t>
      </w:r>
      <w:r w:rsidR="006326CA" w:rsidRPr="00381ABD">
        <w:rPr>
          <w:rFonts w:ascii="Times New Roman" w:hAnsi="Times New Roman" w:cs="Times New Roman"/>
          <w:b/>
          <w:i/>
          <w:color w:val="000000" w:themeColor="text1"/>
          <w:sz w:val="24"/>
          <w:szCs w:val="24"/>
        </w:rPr>
        <w:t>Aliou DIOP</w:t>
      </w:r>
      <w:r w:rsidRPr="00381ABD">
        <w:rPr>
          <w:rFonts w:ascii="Times New Roman" w:hAnsi="Times New Roman" w:cs="Times New Roman"/>
          <w:b/>
          <w:i/>
          <w:color w:val="000000" w:themeColor="text1"/>
          <w:sz w:val="24"/>
          <w:szCs w:val="24"/>
        </w:rPr>
        <w:t>,</w:t>
      </w:r>
      <w:r w:rsidRPr="00381ABD">
        <w:rPr>
          <w:rFonts w:ascii="Times New Roman" w:eastAsia="Times New Roman" w:hAnsi="Times New Roman" w:cs="Times New Roman"/>
          <w:color w:val="000000" w:themeColor="text1"/>
          <w:sz w:val="24"/>
          <w:szCs w:val="24"/>
        </w:rPr>
        <w:t xml:space="preserve"> </w:t>
      </w:r>
      <w:r w:rsidRPr="00381ABD">
        <w:rPr>
          <w:rFonts w:ascii="Times New Roman" w:hAnsi="Times New Roman" w:cs="Times New Roman"/>
          <w:b/>
          <w:i/>
          <w:color w:val="000000" w:themeColor="text1"/>
          <w:sz w:val="24"/>
          <w:szCs w:val="24"/>
        </w:rPr>
        <w:t>Jugement N°</w:t>
      </w:r>
      <w:r w:rsidR="00381ABD">
        <w:rPr>
          <w:rFonts w:ascii="Times New Roman" w:hAnsi="Times New Roman" w:cs="Times New Roman"/>
          <w:b/>
          <w:i/>
          <w:color w:val="000000" w:themeColor="text1"/>
          <w:sz w:val="24"/>
          <w:szCs w:val="24"/>
        </w:rPr>
        <w:t xml:space="preserve"> </w:t>
      </w:r>
      <w:r w:rsidR="006326CA" w:rsidRPr="00381ABD">
        <w:rPr>
          <w:rFonts w:ascii="Times New Roman" w:hAnsi="Times New Roman" w:cs="Times New Roman"/>
          <w:b/>
          <w:i/>
          <w:color w:val="000000" w:themeColor="text1"/>
          <w:sz w:val="24"/>
          <w:szCs w:val="24"/>
        </w:rPr>
        <w:t>002 du 02</w:t>
      </w:r>
      <w:r w:rsidRPr="00381ABD">
        <w:rPr>
          <w:rFonts w:ascii="Times New Roman" w:hAnsi="Times New Roman" w:cs="Times New Roman"/>
          <w:b/>
          <w:i/>
          <w:color w:val="000000" w:themeColor="text1"/>
          <w:sz w:val="24"/>
          <w:szCs w:val="24"/>
        </w:rPr>
        <w:t xml:space="preserve"> </w:t>
      </w:r>
      <w:r w:rsidR="006326CA" w:rsidRPr="00381ABD">
        <w:rPr>
          <w:rFonts w:ascii="Times New Roman" w:hAnsi="Times New Roman" w:cs="Times New Roman"/>
          <w:b/>
          <w:i/>
          <w:color w:val="000000" w:themeColor="text1"/>
          <w:sz w:val="24"/>
          <w:szCs w:val="24"/>
        </w:rPr>
        <w:t>janvier  2018</w:t>
      </w:r>
      <w:r w:rsidRPr="00381ABD">
        <w:rPr>
          <w:rFonts w:ascii="Times New Roman" w:hAnsi="Times New Roman" w:cs="Times New Roman"/>
          <w:b/>
          <w:i/>
          <w:color w:val="000000" w:themeColor="text1"/>
          <w:sz w:val="24"/>
          <w:szCs w:val="24"/>
        </w:rPr>
        <w:t xml:space="preserve"> de la chambre criminelle du TGIHC de Dakar  (Inédit).</w:t>
      </w:r>
    </w:p>
    <w:p w:rsidR="00B6204E" w:rsidRPr="002E2B1E" w:rsidRDefault="00B6204E" w:rsidP="0098524B">
      <w:pPr>
        <w:spacing w:line="360" w:lineRule="auto"/>
        <w:jc w:val="both"/>
        <w:rPr>
          <w:rFonts w:ascii="Times New Roman" w:hAnsi="Times New Roman" w:cs="Times New Roman"/>
          <w:b/>
          <w:bCs/>
          <w:sz w:val="24"/>
          <w:szCs w:val="24"/>
        </w:rPr>
      </w:pPr>
      <w:r w:rsidRPr="002E2B1E">
        <w:rPr>
          <w:rFonts w:ascii="Times New Roman" w:hAnsi="Times New Roman" w:cs="Times New Roman"/>
          <w:b/>
          <w:bCs/>
          <w:sz w:val="24"/>
          <w:szCs w:val="24"/>
        </w:rPr>
        <w:t>Article 50</w:t>
      </w:r>
    </w:p>
    <w:p w:rsidR="00B6204E" w:rsidRPr="002E2B1E" w:rsidRDefault="00B6204E" w:rsidP="0098524B">
      <w:pPr>
        <w:spacing w:line="360" w:lineRule="auto"/>
        <w:jc w:val="both"/>
        <w:rPr>
          <w:rFonts w:ascii="Times New Roman" w:hAnsi="Times New Roman" w:cs="Times New Roman"/>
          <w:b/>
          <w:sz w:val="24"/>
          <w:szCs w:val="24"/>
        </w:rPr>
      </w:pPr>
      <w:r w:rsidRPr="002E2B1E">
        <w:rPr>
          <w:rFonts w:ascii="Times New Roman" w:hAnsi="Times New Roman" w:cs="Times New Roman"/>
          <w:b/>
          <w:sz w:val="24"/>
          <w:szCs w:val="24"/>
        </w:rPr>
        <w:t>Il n'y a ni crime ni délit,</w:t>
      </w:r>
      <w:r w:rsidR="002D3D74"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lorsque le prévenu était en</w:t>
      </w:r>
      <w:r w:rsidR="002D3D74"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état de démence au temps de</w:t>
      </w:r>
      <w:r w:rsidR="002D3D74"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l'action, ou lorsqu'il a été</w:t>
      </w:r>
      <w:r w:rsidR="002D3D74"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contraint par une force à</w:t>
      </w:r>
      <w:r w:rsidR="002D3D74" w:rsidRPr="002E2B1E">
        <w:rPr>
          <w:rFonts w:ascii="Times New Roman" w:hAnsi="Times New Roman" w:cs="Times New Roman"/>
          <w:b/>
          <w:sz w:val="24"/>
          <w:szCs w:val="24"/>
        </w:rPr>
        <w:t xml:space="preserve"> </w:t>
      </w:r>
      <w:r w:rsidRPr="002E2B1E">
        <w:rPr>
          <w:rFonts w:ascii="Times New Roman" w:hAnsi="Times New Roman" w:cs="Times New Roman"/>
          <w:b/>
          <w:sz w:val="24"/>
          <w:szCs w:val="24"/>
        </w:rPr>
        <w:t>laquelle il n'a pu résister.</w:t>
      </w:r>
    </w:p>
    <w:p w:rsidR="00D01A8A" w:rsidRPr="00D01A8A" w:rsidRDefault="00745F11" w:rsidP="0098524B">
      <w:pPr>
        <w:pStyle w:val="Paragraphedeliste"/>
        <w:numPr>
          <w:ilvl w:val="0"/>
          <w:numId w:val="1"/>
        </w:numPr>
        <w:spacing w:before="120" w:after="120" w:line="360" w:lineRule="auto"/>
        <w:jc w:val="both"/>
        <w:rPr>
          <w:rFonts w:ascii="Times New Roman" w:hAnsi="Times New Roman" w:cs="Times New Roman"/>
          <w:b/>
          <w:i/>
          <w:color w:val="000000" w:themeColor="text1"/>
          <w:sz w:val="24"/>
          <w:szCs w:val="24"/>
        </w:rPr>
      </w:pPr>
      <w:r w:rsidRPr="00D01A8A">
        <w:rPr>
          <w:rFonts w:ascii="Times New Roman" w:hAnsi="Times New Roman" w:cs="Times New Roman"/>
          <w:i/>
          <w:sz w:val="24"/>
          <w:szCs w:val="24"/>
        </w:rPr>
        <w:t>Une  Cour d’Appel a</w:t>
      </w:r>
      <w:r w:rsidR="00E67BD1" w:rsidRPr="00D01A8A">
        <w:rPr>
          <w:rFonts w:ascii="Times New Roman" w:hAnsi="Times New Roman" w:cs="Times New Roman"/>
          <w:i/>
          <w:sz w:val="24"/>
          <w:szCs w:val="24"/>
        </w:rPr>
        <w:t xml:space="preserve"> infirmé partiellement</w:t>
      </w:r>
      <w:r w:rsidRPr="00D01A8A">
        <w:rPr>
          <w:rFonts w:ascii="Times New Roman" w:hAnsi="Times New Roman" w:cs="Times New Roman"/>
          <w:i/>
          <w:sz w:val="24"/>
          <w:szCs w:val="24"/>
        </w:rPr>
        <w:t xml:space="preserve"> sur le fondement de l’article 50 du code pénal </w:t>
      </w:r>
      <w:r w:rsidR="00D01A8A" w:rsidRPr="00D01A8A">
        <w:rPr>
          <w:rFonts w:ascii="Times New Roman" w:hAnsi="Times New Roman" w:cs="Times New Roman"/>
          <w:i/>
          <w:sz w:val="24"/>
          <w:szCs w:val="24"/>
        </w:rPr>
        <w:t>et en l’absence d’expertise médicale,</w:t>
      </w:r>
      <w:r w:rsidR="00E67BD1" w:rsidRPr="00D01A8A">
        <w:rPr>
          <w:rFonts w:ascii="Times New Roman" w:hAnsi="Times New Roman" w:cs="Times New Roman"/>
          <w:i/>
          <w:sz w:val="24"/>
          <w:szCs w:val="24"/>
        </w:rPr>
        <w:t xml:space="preserve"> une décision d’un tribunal correctionnel qui</w:t>
      </w:r>
      <w:r w:rsidR="00522A09" w:rsidRPr="00D01A8A">
        <w:rPr>
          <w:rFonts w:ascii="Times New Roman" w:hAnsi="Times New Roman" w:cs="Times New Roman"/>
          <w:i/>
          <w:sz w:val="24"/>
          <w:szCs w:val="24"/>
        </w:rPr>
        <w:t xml:space="preserve"> a</w:t>
      </w:r>
      <w:r w:rsidR="00E67BD1" w:rsidRPr="00D01A8A">
        <w:rPr>
          <w:rFonts w:ascii="Times New Roman" w:hAnsi="Times New Roman" w:cs="Times New Roman"/>
          <w:i/>
          <w:sz w:val="24"/>
          <w:szCs w:val="24"/>
        </w:rPr>
        <w:t xml:space="preserve"> déclaré coupable de viol sur mineure </w:t>
      </w:r>
      <w:r w:rsidRPr="00D01A8A">
        <w:rPr>
          <w:rFonts w:ascii="Times New Roman" w:hAnsi="Times New Roman" w:cs="Times New Roman"/>
          <w:i/>
          <w:sz w:val="24"/>
          <w:szCs w:val="24"/>
        </w:rPr>
        <w:t>âgée de 3ans</w:t>
      </w:r>
      <w:r w:rsidR="00D01A8A" w:rsidRPr="00D01A8A">
        <w:rPr>
          <w:rFonts w:ascii="Times New Roman" w:hAnsi="Times New Roman" w:cs="Times New Roman"/>
          <w:i/>
          <w:sz w:val="24"/>
          <w:szCs w:val="24"/>
        </w:rPr>
        <w:t>,</w:t>
      </w:r>
      <w:r w:rsidR="00614B15" w:rsidRPr="00D01A8A">
        <w:rPr>
          <w:rFonts w:ascii="Times New Roman" w:hAnsi="Times New Roman" w:cs="Times New Roman"/>
          <w:i/>
          <w:sz w:val="24"/>
          <w:szCs w:val="24"/>
        </w:rPr>
        <w:t xml:space="preserve"> un prévenu</w:t>
      </w:r>
      <w:r w:rsidR="00D01A8A" w:rsidRPr="00D01A8A">
        <w:rPr>
          <w:rFonts w:ascii="Times New Roman" w:hAnsi="Times New Roman" w:cs="Times New Roman"/>
          <w:i/>
          <w:sz w:val="24"/>
          <w:szCs w:val="24"/>
        </w:rPr>
        <w:t xml:space="preserve">, </w:t>
      </w:r>
      <w:r w:rsidR="00522A09" w:rsidRPr="00D01A8A">
        <w:rPr>
          <w:rFonts w:ascii="Times New Roman" w:hAnsi="Times New Roman" w:cs="Times New Roman"/>
          <w:i/>
          <w:sz w:val="24"/>
          <w:szCs w:val="24"/>
        </w:rPr>
        <w:t xml:space="preserve">en le relaxant purement et simplement au motif que la démence est </w:t>
      </w:r>
      <w:r w:rsidR="002E2B1E" w:rsidRPr="00D01A8A">
        <w:rPr>
          <w:rFonts w:ascii="Times New Roman" w:hAnsi="Times New Roman" w:cs="Times New Roman"/>
          <w:i/>
          <w:sz w:val="24"/>
          <w:szCs w:val="24"/>
        </w:rPr>
        <w:t>une</w:t>
      </w:r>
      <w:r w:rsidR="00D01A8A" w:rsidRPr="00D01A8A">
        <w:rPr>
          <w:rFonts w:ascii="Times New Roman" w:hAnsi="Times New Roman" w:cs="Times New Roman"/>
          <w:i/>
          <w:sz w:val="24"/>
          <w:szCs w:val="24"/>
        </w:rPr>
        <w:t xml:space="preserve"> question de fait laisser à la libre appréciation du juge du fond.</w:t>
      </w:r>
      <w:r w:rsidR="002E2B1E" w:rsidRPr="00D01A8A">
        <w:rPr>
          <w:rFonts w:ascii="Times New Roman" w:hAnsi="Times New Roman" w:cs="Times New Roman"/>
          <w:i/>
          <w:sz w:val="24"/>
          <w:szCs w:val="24"/>
        </w:rPr>
        <w:t xml:space="preserve"> </w:t>
      </w:r>
    </w:p>
    <w:p w:rsidR="00286318" w:rsidRDefault="003168B7" w:rsidP="00F244DE">
      <w:pPr>
        <w:pStyle w:val="Titre1"/>
      </w:pPr>
      <w:bookmarkStart w:id="16" w:name="_Toc521059398"/>
      <w:r w:rsidRPr="00D01A8A">
        <w:lastRenderedPageBreak/>
        <w:t>Cour d’Appel de Dakar, arrêt n° 202 du 12/02/2013,  Ministère Public</w:t>
      </w:r>
      <w:r w:rsidR="009354DE" w:rsidRPr="00D01A8A">
        <w:t xml:space="preserve"> et Abdou Salam FALL</w:t>
      </w:r>
      <w:r w:rsidRPr="00D01A8A">
        <w:t xml:space="preserve"> contre Oumar  SENE.</w:t>
      </w:r>
      <w:r w:rsidR="00B07A3E" w:rsidRPr="00D01A8A">
        <w:t xml:space="preserve"> (Inédit).</w:t>
      </w:r>
      <w:bookmarkEnd w:id="16"/>
    </w:p>
    <w:p w:rsidR="00286318" w:rsidRDefault="00286318" w:rsidP="0098524B">
      <w:pPr>
        <w:pStyle w:val="Paragraphedeliste"/>
        <w:numPr>
          <w:ilvl w:val="0"/>
          <w:numId w:val="1"/>
        </w:numPr>
        <w:spacing w:before="120" w:after="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Une Cour d’Appel a écarté l’application de l’article 50 du code pénal pour un prévenu au motif qu’il n’a pas été rapporté la preuve que ce dernier est atteint de déficience mentale découlant d’une méningite </w:t>
      </w:r>
      <w:r w:rsidR="00101850">
        <w:rPr>
          <w:rFonts w:ascii="Times New Roman" w:hAnsi="Times New Roman" w:cs="Times New Roman"/>
          <w:i/>
          <w:sz w:val="24"/>
          <w:szCs w:val="24"/>
        </w:rPr>
        <w:t xml:space="preserve">antécédente ; qu’a pu bénéficier de résister à commettre le délit et qu’il n’est pas avéré que la démence invoquée est committante avec l’action fautive.  </w:t>
      </w:r>
    </w:p>
    <w:p w:rsidR="00286318" w:rsidRDefault="00286318" w:rsidP="00F244DE">
      <w:pPr>
        <w:pStyle w:val="Titre1"/>
      </w:pPr>
      <w:bookmarkStart w:id="17" w:name="_Toc521059399"/>
      <w:r w:rsidRPr="003168B7">
        <w:t xml:space="preserve">Cour d’Appel de Dakar, arrêt n° </w:t>
      </w:r>
      <w:r w:rsidR="0057089F">
        <w:t>1139 du 30/07</w:t>
      </w:r>
      <w:r>
        <w:t>/</w:t>
      </w:r>
      <w:r w:rsidRPr="003168B7">
        <w:t>201</w:t>
      </w:r>
      <w:r>
        <w:t>3</w:t>
      </w:r>
      <w:r w:rsidRPr="003168B7">
        <w:t>,  Ministère Public</w:t>
      </w:r>
      <w:r w:rsidR="0057089F">
        <w:t xml:space="preserve"> et Dame CISS</w:t>
      </w:r>
      <w:r w:rsidRPr="003168B7">
        <w:t xml:space="preserve"> contre </w:t>
      </w:r>
      <w:r w:rsidR="0057089F">
        <w:t>Adama DIALLO</w:t>
      </w:r>
      <w:r w:rsidRPr="003168B7">
        <w:t>.</w:t>
      </w:r>
      <w:r w:rsidR="00B07A3E" w:rsidRPr="00B07A3E">
        <w:t xml:space="preserve"> </w:t>
      </w:r>
      <w:r w:rsidR="00B07A3E" w:rsidRPr="00BC7282">
        <w:t>(Inédit).</w:t>
      </w:r>
      <w:bookmarkEnd w:id="17"/>
    </w:p>
    <w:p w:rsidR="00D30FB2" w:rsidRPr="00E42A02" w:rsidRDefault="008C0B32" w:rsidP="0098524B">
      <w:pPr>
        <w:pStyle w:val="Paragraphedeliste"/>
        <w:numPr>
          <w:ilvl w:val="0"/>
          <w:numId w:val="1"/>
        </w:numPr>
        <w:spacing w:before="120" w:after="120" w:line="360" w:lineRule="auto"/>
        <w:jc w:val="both"/>
        <w:rPr>
          <w:rFonts w:ascii="Times New Roman" w:eastAsia="Calibri" w:hAnsi="Times New Roman" w:cs="Times New Roman"/>
          <w:i/>
          <w:sz w:val="24"/>
          <w:szCs w:val="24"/>
        </w:rPr>
      </w:pPr>
      <w:r w:rsidRPr="00E42A02">
        <w:rPr>
          <w:rFonts w:ascii="Times New Roman" w:hAnsi="Times New Roman" w:cs="Times New Roman"/>
          <w:i/>
          <w:sz w:val="24"/>
          <w:szCs w:val="24"/>
        </w:rPr>
        <w:t xml:space="preserve">Une Cour d’assise a écarté les conclusions d’un médecin au motif que </w:t>
      </w:r>
      <w:r w:rsidRPr="00E42A02">
        <w:rPr>
          <w:rFonts w:ascii="Times New Roman" w:eastAsia="Calibri" w:hAnsi="Times New Roman" w:cs="Times New Roman"/>
          <w:i/>
          <w:sz w:val="24"/>
          <w:szCs w:val="24"/>
        </w:rPr>
        <w:t xml:space="preserve">l’état de démence invoqué par l’avocat de la défense ne peut être retenu dès lors qu’il ne résulte pas clairement des conclusions de l’expert psychiatrique commis et du comportement </w:t>
      </w:r>
      <w:r w:rsidR="00432FD5" w:rsidRPr="00E42A02">
        <w:rPr>
          <w:rFonts w:ascii="Times New Roman" w:hAnsi="Times New Roman" w:cs="Times New Roman"/>
          <w:i/>
          <w:sz w:val="24"/>
          <w:szCs w:val="24"/>
        </w:rPr>
        <w:t xml:space="preserve">de l’accusée </w:t>
      </w:r>
      <w:r w:rsidRPr="00E42A02">
        <w:rPr>
          <w:rFonts w:ascii="Times New Roman" w:eastAsia="Calibri" w:hAnsi="Times New Roman" w:cs="Times New Roman"/>
          <w:i/>
          <w:sz w:val="24"/>
          <w:szCs w:val="24"/>
        </w:rPr>
        <w:t>qui avait nettement affirmé au magistrat instructeur qu’elle ne souffrait d’aucun trouble psychique</w:t>
      </w:r>
      <w:r w:rsidR="00881C22" w:rsidRPr="00E42A02">
        <w:rPr>
          <w:rFonts w:ascii="Times New Roman" w:eastAsia="Calibri" w:hAnsi="Times New Roman" w:cs="Times New Roman"/>
          <w:i/>
          <w:sz w:val="24"/>
          <w:szCs w:val="24"/>
        </w:rPr>
        <w:t>.</w:t>
      </w:r>
      <w:r w:rsidR="00881C22" w:rsidRPr="00E42A02">
        <w:rPr>
          <w:rFonts w:ascii="Times New Roman" w:hAnsi="Times New Roman" w:cs="Times New Roman"/>
          <w:b/>
          <w:i/>
          <w:color w:val="000000" w:themeColor="text1"/>
          <w:sz w:val="24"/>
          <w:szCs w:val="24"/>
        </w:rPr>
        <w:t xml:space="preserve"> </w:t>
      </w:r>
    </w:p>
    <w:p w:rsidR="008C0B32" w:rsidRPr="002D5BC6" w:rsidRDefault="00881C22" w:rsidP="009762AA">
      <w:pPr>
        <w:pStyle w:val="Titre1"/>
      </w:pPr>
      <w:bookmarkStart w:id="18" w:name="_Toc521059400"/>
      <w:r w:rsidRPr="00432FD5">
        <w:t>Ministère Public contre</w:t>
      </w:r>
      <w:r>
        <w:t xml:space="preserve"> </w:t>
      </w:r>
      <w:r>
        <w:rPr>
          <w:rFonts w:eastAsia="Calibri"/>
          <w:color w:val="000000"/>
        </w:rPr>
        <w:t>Oumy DIOUF</w:t>
      </w:r>
      <w:r w:rsidRPr="00432FD5">
        <w:t xml:space="preserve">, Arrêt de la Cour d’Assises de </w:t>
      </w:r>
      <w:r>
        <w:t>Saint-Louis</w:t>
      </w:r>
      <w:r w:rsidRPr="00432FD5">
        <w:t xml:space="preserve"> N° </w:t>
      </w:r>
      <w:r>
        <w:t>25 du 20</w:t>
      </w:r>
      <w:r w:rsidRPr="00432FD5">
        <w:t xml:space="preserve"> </w:t>
      </w:r>
      <w:r>
        <w:t>juin 2012</w:t>
      </w:r>
      <w:r w:rsidRPr="00432FD5">
        <w:t xml:space="preserve"> (Inédit).</w:t>
      </w:r>
      <w:bookmarkEnd w:id="18"/>
    </w:p>
    <w:p w:rsidR="00881C22" w:rsidRDefault="00D30FB2" w:rsidP="0098524B">
      <w:pPr>
        <w:pStyle w:val="Paragraphedeliste"/>
        <w:numPr>
          <w:ilvl w:val="0"/>
          <w:numId w:val="1"/>
        </w:numPr>
        <w:spacing w:before="120" w:after="120" w:line="360" w:lineRule="auto"/>
        <w:jc w:val="both"/>
        <w:rPr>
          <w:rFonts w:ascii="Times New Roman" w:eastAsia="Calibri" w:hAnsi="Times New Roman" w:cs="Times New Roman"/>
          <w:i/>
          <w:sz w:val="24"/>
          <w:szCs w:val="24"/>
        </w:rPr>
      </w:pPr>
      <w:r w:rsidRPr="00D30FB2">
        <w:rPr>
          <w:rFonts w:ascii="Times New Roman" w:eastAsia="Calibri" w:hAnsi="Times New Roman" w:cs="Times New Roman"/>
          <w:i/>
          <w:sz w:val="24"/>
          <w:szCs w:val="24"/>
        </w:rPr>
        <w:t xml:space="preserve">Une </w:t>
      </w:r>
      <w:r>
        <w:rPr>
          <w:rFonts w:ascii="Times New Roman" w:eastAsia="Calibri" w:hAnsi="Times New Roman" w:cs="Times New Roman"/>
          <w:i/>
          <w:sz w:val="24"/>
          <w:szCs w:val="24"/>
        </w:rPr>
        <w:t xml:space="preserve">chambre d’accusation a confirmé une ordonnance </w:t>
      </w:r>
      <w:r w:rsidR="00AD7BD3">
        <w:rPr>
          <w:rFonts w:ascii="Times New Roman" w:eastAsia="Calibri" w:hAnsi="Times New Roman" w:cs="Times New Roman"/>
          <w:i/>
          <w:sz w:val="24"/>
          <w:szCs w:val="24"/>
        </w:rPr>
        <w:t>de non lieu au profit d’</w:t>
      </w:r>
      <w:r>
        <w:rPr>
          <w:rFonts w:ascii="Times New Roman" w:eastAsia="Calibri" w:hAnsi="Times New Roman" w:cs="Times New Roman"/>
          <w:i/>
          <w:sz w:val="24"/>
          <w:szCs w:val="24"/>
        </w:rPr>
        <w:t>un individu inculpé de meurtre en se fondant sur l’article 50, motif pris de ce que</w:t>
      </w:r>
      <w:r w:rsidR="001E728E">
        <w:rPr>
          <w:rFonts w:ascii="Times New Roman" w:eastAsia="Calibri" w:hAnsi="Times New Roman" w:cs="Times New Roman"/>
          <w:i/>
          <w:sz w:val="24"/>
          <w:szCs w:val="24"/>
        </w:rPr>
        <w:t xml:space="preserve"> </w:t>
      </w:r>
      <w:r w:rsidR="007B1B77">
        <w:rPr>
          <w:rFonts w:ascii="Times New Roman" w:eastAsia="Calibri" w:hAnsi="Times New Roman" w:cs="Times New Roman"/>
          <w:i/>
          <w:sz w:val="24"/>
          <w:szCs w:val="24"/>
        </w:rPr>
        <w:t xml:space="preserve">le rapport d’expert ne contient pas de termes dubitatifs dans </w:t>
      </w:r>
      <w:r>
        <w:rPr>
          <w:rFonts w:ascii="Times New Roman" w:eastAsia="Calibri" w:hAnsi="Times New Roman" w:cs="Times New Roman"/>
          <w:i/>
          <w:sz w:val="24"/>
          <w:szCs w:val="24"/>
        </w:rPr>
        <w:t xml:space="preserve"> </w:t>
      </w:r>
      <w:r w:rsidR="007B1B77">
        <w:rPr>
          <w:rFonts w:ascii="Times New Roman" w:eastAsia="Calibri" w:hAnsi="Times New Roman" w:cs="Times New Roman"/>
          <w:i/>
          <w:sz w:val="24"/>
          <w:szCs w:val="24"/>
        </w:rPr>
        <w:t>s</w:t>
      </w:r>
      <w:r w:rsidRPr="00D30FB2">
        <w:rPr>
          <w:rFonts w:ascii="Times New Roman" w:eastAsia="Calibri" w:hAnsi="Times New Roman" w:cs="Times New Roman"/>
          <w:i/>
          <w:sz w:val="24"/>
          <w:szCs w:val="24"/>
        </w:rPr>
        <w:t xml:space="preserve">es conclusions </w:t>
      </w:r>
      <w:r w:rsidR="001E728E">
        <w:rPr>
          <w:rFonts w:ascii="Times New Roman" w:eastAsia="Calibri" w:hAnsi="Times New Roman" w:cs="Times New Roman"/>
          <w:i/>
          <w:sz w:val="24"/>
          <w:szCs w:val="24"/>
        </w:rPr>
        <w:t>dans lesquelles il est</w:t>
      </w:r>
      <w:r w:rsidR="00A9638A">
        <w:rPr>
          <w:rFonts w:ascii="Times New Roman" w:eastAsia="Calibri" w:hAnsi="Times New Roman" w:cs="Times New Roman"/>
          <w:i/>
          <w:sz w:val="24"/>
          <w:szCs w:val="24"/>
        </w:rPr>
        <w:t xml:space="preserve"> </w:t>
      </w:r>
      <w:r w:rsidR="007B1B77">
        <w:rPr>
          <w:rFonts w:ascii="Times New Roman" w:eastAsia="Calibri" w:hAnsi="Times New Roman" w:cs="Times New Roman"/>
          <w:i/>
          <w:sz w:val="24"/>
          <w:szCs w:val="24"/>
        </w:rPr>
        <w:t xml:space="preserve">précisé que le mis en cause </w:t>
      </w:r>
      <w:r w:rsidRPr="00D30FB2">
        <w:rPr>
          <w:rFonts w:ascii="Times New Roman" w:eastAsia="Calibri" w:hAnsi="Times New Roman" w:cs="Times New Roman"/>
          <w:i/>
          <w:sz w:val="24"/>
          <w:szCs w:val="24"/>
        </w:rPr>
        <w:t>était en état de démence au moment des faits</w:t>
      </w:r>
      <w:r w:rsidR="001E728E">
        <w:rPr>
          <w:rFonts w:ascii="Times New Roman" w:eastAsia="Calibri" w:hAnsi="Times New Roman" w:cs="Times New Roman"/>
          <w:i/>
          <w:sz w:val="24"/>
          <w:szCs w:val="24"/>
        </w:rPr>
        <w:t xml:space="preserve"> et que cet état de fait </w:t>
      </w:r>
      <w:r w:rsidRPr="00D30FB2">
        <w:rPr>
          <w:rFonts w:ascii="Times New Roman" w:eastAsia="Calibri" w:hAnsi="Times New Roman" w:cs="Times New Roman"/>
          <w:i/>
          <w:sz w:val="24"/>
          <w:szCs w:val="24"/>
        </w:rPr>
        <w:t xml:space="preserve"> </w:t>
      </w:r>
      <w:r w:rsidR="001E728E">
        <w:rPr>
          <w:rFonts w:ascii="Times New Roman" w:eastAsia="Calibri" w:hAnsi="Times New Roman" w:cs="Times New Roman"/>
          <w:i/>
          <w:sz w:val="24"/>
          <w:szCs w:val="24"/>
        </w:rPr>
        <w:t>est corroboré par d</w:t>
      </w:r>
      <w:r w:rsidRPr="00D30FB2">
        <w:rPr>
          <w:rFonts w:ascii="Times New Roman" w:eastAsia="Calibri" w:hAnsi="Times New Roman" w:cs="Times New Roman"/>
          <w:i/>
          <w:sz w:val="24"/>
          <w:szCs w:val="24"/>
        </w:rPr>
        <w:t>es témoignages</w:t>
      </w:r>
      <w:r w:rsidR="00EC3D9A">
        <w:rPr>
          <w:rFonts w:ascii="Times New Roman" w:eastAsia="Calibri" w:hAnsi="Times New Roman" w:cs="Times New Roman"/>
          <w:i/>
          <w:sz w:val="24"/>
          <w:szCs w:val="24"/>
        </w:rPr>
        <w:t xml:space="preserve"> même s’il est également mentionné dans ledit rapport que </w:t>
      </w:r>
      <w:r w:rsidR="007F3E6A">
        <w:rPr>
          <w:rFonts w:ascii="Times New Roman" w:eastAsia="Calibri" w:hAnsi="Times New Roman" w:cs="Times New Roman"/>
          <w:i/>
          <w:sz w:val="24"/>
          <w:szCs w:val="24"/>
        </w:rPr>
        <w:t xml:space="preserve">l’inculpé </w:t>
      </w:r>
      <w:r w:rsidR="007F3E6A" w:rsidRPr="007F3E6A">
        <w:rPr>
          <w:rFonts w:ascii="Times New Roman" w:eastAsia="Calibri" w:hAnsi="Times New Roman" w:cs="Times New Roman"/>
          <w:i/>
          <w:sz w:val="24"/>
          <w:szCs w:val="24"/>
        </w:rPr>
        <w:t>« est acc</w:t>
      </w:r>
      <w:r w:rsidR="007F3E6A">
        <w:rPr>
          <w:rFonts w:ascii="Times New Roman" w:eastAsia="Calibri" w:hAnsi="Times New Roman" w:cs="Times New Roman"/>
          <w:i/>
          <w:sz w:val="24"/>
          <w:szCs w:val="24"/>
        </w:rPr>
        <w:t>essible à une sanction pénale ».</w:t>
      </w:r>
    </w:p>
    <w:p w:rsidR="004F5F0C" w:rsidRPr="004F5F0C" w:rsidRDefault="004F5F0C" w:rsidP="009762AA">
      <w:pPr>
        <w:pStyle w:val="Titre1"/>
      </w:pPr>
      <w:bookmarkStart w:id="19" w:name="_Toc521059401"/>
      <w:r w:rsidRPr="004F5F0C">
        <w:t xml:space="preserve">Ministère Public contre Daouda DIOP, Arrêt Chambre d’Accusation de la Cour d’Appel de Dakar N° </w:t>
      </w:r>
      <w:r w:rsidRPr="004F5F0C">
        <w:rPr>
          <w:rFonts w:ascii="Calibri" w:eastAsia="Calibri" w:hAnsi="Calibri"/>
        </w:rPr>
        <w:t>117</w:t>
      </w:r>
      <w:r w:rsidRPr="004F5F0C">
        <w:rPr>
          <w:color w:val="F79646" w:themeColor="accent6"/>
        </w:rPr>
        <w:t xml:space="preserve"> </w:t>
      </w:r>
      <w:r w:rsidRPr="004F5F0C">
        <w:t xml:space="preserve">du </w:t>
      </w:r>
      <w:r w:rsidRPr="004F5F0C">
        <w:rPr>
          <w:rFonts w:eastAsia="Calibri"/>
        </w:rPr>
        <w:t>22/05/201</w:t>
      </w:r>
      <w:r w:rsidRPr="004F5F0C">
        <w:t>4.</w:t>
      </w:r>
      <w:r w:rsidR="00B07A3E" w:rsidRPr="00B07A3E">
        <w:t xml:space="preserve"> </w:t>
      </w:r>
      <w:r w:rsidR="00B07A3E">
        <w:t>(Inédit)</w:t>
      </w:r>
      <w:bookmarkEnd w:id="19"/>
    </w:p>
    <w:p w:rsidR="007439F4" w:rsidRPr="004F5F0C" w:rsidRDefault="007439F4" w:rsidP="0098524B">
      <w:pPr>
        <w:pStyle w:val="Paragraphedeliste"/>
        <w:numPr>
          <w:ilvl w:val="0"/>
          <w:numId w:val="1"/>
        </w:numPr>
        <w:spacing w:before="120" w:after="120" w:line="360" w:lineRule="auto"/>
        <w:jc w:val="both"/>
        <w:rPr>
          <w:rFonts w:ascii="Times New Roman" w:eastAsia="Calibri" w:hAnsi="Times New Roman" w:cs="Times New Roman"/>
          <w:i/>
          <w:sz w:val="24"/>
          <w:szCs w:val="24"/>
        </w:rPr>
      </w:pPr>
      <w:r w:rsidRPr="004F5F0C">
        <w:rPr>
          <w:rFonts w:ascii="Times New Roman" w:eastAsia="Calibri" w:hAnsi="Times New Roman" w:cs="Times New Roman"/>
          <w:i/>
          <w:sz w:val="24"/>
          <w:szCs w:val="24"/>
        </w:rPr>
        <w:t xml:space="preserve">Une cour d’Appel a par contre confirmé une décision de première instance en adoptant le </w:t>
      </w:r>
      <w:r w:rsidR="004F5F0C" w:rsidRPr="004F5F0C">
        <w:rPr>
          <w:rFonts w:ascii="Times New Roman" w:eastAsia="Calibri" w:hAnsi="Times New Roman" w:cs="Times New Roman"/>
          <w:i/>
          <w:sz w:val="24"/>
          <w:szCs w:val="24"/>
        </w:rPr>
        <w:t>même</w:t>
      </w:r>
      <w:r w:rsidRPr="004F5F0C">
        <w:rPr>
          <w:rFonts w:ascii="Times New Roman" w:eastAsia="Calibri" w:hAnsi="Times New Roman" w:cs="Times New Roman"/>
          <w:i/>
          <w:sz w:val="24"/>
          <w:szCs w:val="24"/>
        </w:rPr>
        <w:t xml:space="preserve"> mo</w:t>
      </w:r>
      <w:r w:rsidR="004F5F0C" w:rsidRPr="004F5F0C">
        <w:rPr>
          <w:rFonts w:ascii="Times New Roman" w:eastAsia="Calibri" w:hAnsi="Times New Roman" w:cs="Times New Roman"/>
          <w:i/>
          <w:sz w:val="24"/>
          <w:szCs w:val="24"/>
        </w:rPr>
        <w:t>tif que le</w:t>
      </w:r>
      <w:r w:rsidRPr="004F5F0C">
        <w:rPr>
          <w:rFonts w:ascii="Times New Roman" w:eastAsia="Calibri" w:hAnsi="Times New Roman" w:cs="Times New Roman"/>
          <w:i/>
          <w:sz w:val="24"/>
          <w:szCs w:val="24"/>
        </w:rPr>
        <w:t xml:space="preserve"> premier juge pris sur le fondement de l’article 50</w:t>
      </w:r>
      <w:r w:rsidR="00F001BC">
        <w:rPr>
          <w:rFonts w:ascii="Times New Roman" w:eastAsia="Calibri" w:hAnsi="Times New Roman" w:cs="Times New Roman"/>
          <w:i/>
          <w:sz w:val="24"/>
          <w:szCs w:val="24"/>
        </w:rPr>
        <w:t xml:space="preserve"> en considérant qu’</w:t>
      </w:r>
      <w:r w:rsidRPr="004F5F0C">
        <w:rPr>
          <w:rFonts w:ascii="Times New Roman" w:eastAsia="Calibri" w:hAnsi="Times New Roman" w:cs="Times New Roman"/>
          <w:i/>
          <w:sz w:val="24"/>
          <w:szCs w:val="24"/>
        </w:rPr>
        <w:t xml:space="preserve"> </w:t>
      </w:r>
      <w:r w:rsidR="004F5F0C" w:rsidRPr="004F5F0C">
        <w:rPr>
          <w:rFonts w:ascii="Times New Roman" w:eastAsia="Calibri" w:hAnsi="Times New Roman" w:cs="Times New Roman"/>
          <w:i/>
          <w:sz w:val="24"/>
          <w:szCs w:val="24"/>
        </w:rPr>
        <w:t>eu égard au comportement général de la personne</w:t>
      </w:r>
      <w:r w:rsidR="00F001BC">
        <w:rPr>
          <w:rFonts w:ascii="Times New Roman" w:eastAsia="Calibri" w:hAnsi="Times New Roman" w:cs="Times New Roman"/>
          <w:i/>
          <w:sz w:val="24"/>
          <w:szCs w:val="24"/>
        </w:rPr>
        <w:t>,</w:t>
      </w:r>
      <w:r w:rsidR="004F5F0C" w:rsidRPr="004F5F0C">
        <w:rPr>
          <w:rFonts w:ascii="Times New Roman" w:eastAsia="Calibri" w:hAnsi="Times New Roman" w:cs="Times New Roman"/>
          <w:i/>
          <w:sz w:val="24"/>
          <w:szCs w:val="24"/>
        </w:rPr>
        <w:t xml:space="preserve"> l’expert commis</w:t>
      </w:r>
      <w:r w:rsidR="00F001BC">
        <w:rPr>
          <w:rFonts w:ascii="Times New Roman" w:eastAsia="Calibri" w:hAnsi="Times New Roman" w:cs="Times New Roman"/>
          <w:i/>
          <w:sz w:val="24"/>
          <w:szCs w:val="24"/>
        </w:rPr>
        <w:t>,</w:t>
      </w:r>
      <w:r w:rsidR="004F5F0C" w:rsidRPr="004F5F0C">
        <w:rPr>
          <w:rFonts w:ascii="Times New Roman" w:eastAsia="Calibri" w:hAnsi="Times New Roman" w:cs="Times New Roman"/>
          <w:i/>
          <w:sz w:val="24"/>
          <w:szCs w:val="24"/>
        </w:rPr>
        <w:t xml:space="preserve"> a déposé son rapport et a conclu que </w:t>
      </w:r>
      <w:r w:rsidR="004F5F0C">
        <w:rPr>
          <w:rFonts w:ascii="Times New Roman" w:eastAsia="Calibri" w:hAnsi="Times New Roman" w:cs="Times New Roman"/>
          <w:i/>
          <w:sz w:val="24"/>
          <w:szCs w:val="24"/>
        </w:rPr>
        <w:t xml:space="preserve">le prévenu </w:t>
      </w:r>
      <w:r w:rsidR="004F5F0C" w:rsidRPr="004F5F0C">
        <w:rPr>
          <w:rFonts w:ascii="Times New Roman" w:eastAsia="Calibri" w:hAnsi="Times New Roman" w:cs="Times New Roman"/>
          <w:i/>
          <w:sz w:val="24"/>
          <w:szCs w:val="24"/>
        </w:rPr>
        <w:t xml:space="preserve">est atteint d’une pathologie mentale chronique ; </w:t>
      </w:r>
    </w:p>
    <w:p w:rsidR="007A414F" w:rsidRPr="00381ABD" w:rsidRDefault="00EB6D31" w:rsidP="009762AA">
      <w:pPr>
        <w:pStyle w:val="Titre1"/>
      </w:pPr>
      <w:bookmarkStart w:id="20" w:name="_Toc521059402"/>
      <w:r w:rsidRPr="00053A29">
        <w:lastRenderedPageBreak/>
        <w:t>Ministère Public contre</w:t>
      </w:r>
      <w:r w:rsidR="008928E0" w:rsidRPr="008928E0">
        <w:rPr>
          <w:rFonts w:eastAsia="Times New Roman"/>
          <w:szCs w:val="20"/>
        </w:rPr>
        <w:t xml:space="preserve"> </w:t>
      </w:r>
      <w:r w:rsidR="008928E0" w:rsidRPr="008928E0">
        <w:t>Aly HACHEM</w:t>
      </w:r>
      <w:r w:rsidRPr="00053A29">
        <w:t xml:space="preserve">, Arrêt </w:t>
      </w:r>
      <w:r w:rsidR="00F001BC" w:rsidRPr="00F001BC">
        <w:t xml:space="preserve">Cour d'Appel de Dakar </w:t>
      </w:r>
      <w:r w:rsidR="00053A29" w:rsidRPr="00053A29">
        <w:t>N°</w:t>
      </w:r>
      <w:r w:rsidRPr="00053A29">
        <w:t xml:space="preserve"> </w:t>
      </w:r>
      <w:r w:rsidR="008928E0">
        <w:rPr>
          <w:rFonts w:ascii="Calibri" w:eastAsia="Calibri" w:hAnsi="Calibri"/>
        </w:rPr>
        <w:t>496</w:t>
      </w:r>
      <w:r w:rsidRPr="00053A29">
        <w:rPr>
          <w:color w:val="F79646" w:themeColor="accent6"/>
        </w:rPr>
        <w:t xml:space="preserve"> </w:t>
      </w:r>
      <w:r w:rsidRPr="00053A29">
        <w:t>du</w:t>
      </w:r>
      <w:r w:rsidR="00053A29" w:rsidRPr="00053A29">
        <w:t xml:space="preserve"> </w:t>
      </w:r>
      <w:r w:rsidR="008928E0" w:rsidRPr="008928E0">
        <w:t>25/06/2001</w:t>
      </w:r>
      <w:r w:rsidR="00053A29">
        <w:t>.</w:t>
      </w:r>
      <w:bookmarkEnd w:id="20"/>
    </w:p>
    <w:p w:rsidR="00F521DC" w:rsidRPr="00F521DC" w:rsidRDefault="007E42F3" w:rsidP="0098524B">
      <w:pPr>
        <w:pStyle w:val="Paragraphedeliste"/>
        <w:numPr>
          <w:ilvl w:val="0"/>
          <w:numId w:val="1"/>
        </w:numPr>
        <w:autoSpaceDE w:val="0"/>
        <w:autoSpaceDN w:val="0"/>
        <w:adjustRightInd w:val="0"/>
        <w:spacing w:before="120" w:after="120" w:line="360" w:lineRule="auto"/>
        <w:jc w:val="both"/>
        <w:rPr>
          <w:rFonts w:ascii="Times New Roman" w:hAnsi="Times New Roman" w:cs="Times New Roman"/>
          <w:b/>
          <w:i/>
          <w:iCs/>
          <w:color w:val="000000" w:themeColor="text1"/>
          <w:sz w:val="24"/>
          <w:szCs w:val="24"/>
        </w:rPr>
      </w:pPr>
      <w:r w:rsidRPr="00F521DC">
        <w:rPr>
          <w:rFonts w:ascii="Times New Roman" w:eastAsia="Calibri" w:hAnsi="Times New Roman" w:cs="Times New Roman"/>
          <w:i/>
          <w:sz w:val="24"/>
          <w:szCs w:val="24"/>
        </w:rPr>
        <w:t xml:space="preserve">A jugé, une chambre correctionnelle, que malgré </w:t>
      </w:r>
      <w:r w:rsidR="00F521DC" w:rsidRPr="00F521DC">
        <w:rPr>
          <w:rFonts w:ascii="Times New Roman" w:eastAsia="Calibri" w:hAnsi="Times New Roman" w:cs="Times New Roman"/>
          <w:i/>
          <w:sz w:val="24"/>
          <w:szCs w:val="24"/>
        </w:rPr>
        <w:t>un certificat médical versé au</w:t>
      </w:r>
      <w:r w:rsidRPr="00F521DC">
        <w:rPr>
          <w:rFonts w:ascii="Times New Roman" w:eastAsia="Calibri" w:hAnsi="Times New Roman" w:cs="Times New Roman"/>
          <w:i/>
          <w:sz w:val="24"/>
          <w:szCs w:val="24"/>
        </w:rPr>
        <w:t xml:space="preserve"> dossier </w:t>
      </w:r>
      <w:r w:rsidR="00F521DC" w:rsidRPr="00F521DC">
        <w:rPr>
          <w:rFonts w:ascii="Times New Roman" w:eastAsia="Calibri" w:hAnsi="Times New Roman" w:cs="Times New Roman"/>
          <w:i/>
          <w:sz w:val="24"/>
          <w:szCs w:val="24"/>
        </w:rPr>
        <w:t>attestant que le prévenu souffre d’une pathologie psychiatrique, rien ne permet d’indiquer qu’au moment d’agir les facultés mentales du prévenu étaient altérées</w:t>
      </w:r>
      <w:r w:rsidR="00F521DC">
        <w:rPr>
          <w:rFonts w:ascii="Times New Roman" w:eastAsia="Calibri" w:hAnsi="Times New Roman" w:cs="Times New Roman"/>
          <w:i/>
          <w:sz w:val="24"/>
          <w:szCs w:val="24"/>
        </w:rPr>
        <w:t>.</w:t>
      </w:r>
      <w:r w:rsidR="00F521DC" w:rsidRPr="00F521DC">
        <w:rPr>
          <w:rFonts w:ascii="Times New Roman" w:eastAsia="Calibri" w:hAnsi="Times New Roman" w:cs="Times New Roman"/>
          <w:i/>
          <w:sz w:val="24"/>
          <w:szCs w:val="24"/>
        </w:rPr>
        <w:t xml:space="preserve"> </w:t>
      </w:r>
    </w:p>
    <w:p w:rsidR="007A414F" w:rsidRDefault="00FF10D0" w:rsidP="009762AA">
      <w:pPr>
        <w:pStyle w:val="Titre1"/>
      </w:pPr>
      <w:bookmarkStart w:id="21" w:name="_Toc521059403"/>
      <w:r w:rsidRPr="00FF10D0">
        <w:t xml:space="preserve">Ministère Public et </w:t>
      </w:r>
      <w:r>
        <w:t xml:space="preserve">Mamadou Moctar DIENE </w:t>
      </w:r>
      <w:r w:rsidRPr="00FF10D0">
        <w:t>contre</w:t>
      </w:r>
      <w:r w:rsidRPr="00FF10D0">
        <w:rPr>
          <w:rFonts w:eastAsia="Times New Roman"/>
          <w:sz w:val="28"/>
          <w:szCs w:val="20"/>
        </w:rPr>
        <w:t xml:space="preserve"> </w:t>
      </w:r>
      <w:r w:rsidR="00C057F8" w:rsidRPr="00C057F8">
        <w:rPr>
          <w:rFonts w:eastAsia="Calibri"/>
          <w:color w:val="000000"/>
        </w:rPr>
        <w:t>Pape Ousmane TOURE</w:t>
      </w:r>
      <w:r w:rsidRPr="00FF10D0">
        <w:t>,</w:t>
      </w:r>
      <w:r w:rsidRPr="00FF10D0">
        <w:rPr>
          <w:rFonts w:ascii="Tunga" w:eastAsia="Times New Roman" w:hAnsi="Tunga" w:cs="Tunga"/>
        </w:rPr>
        <w:t xml:space="preserve"> </w:t>
      </w:r>
      <w:r w:rsidRPr="00FF10D0">
        <w:t>Ju</w:t>
      </w:r>
      <w:r>
        <w:t>gement N°537</w:t>
      </w:r>
      <w:r w:rsidRPr="00FF10D0">
        <w:t xml:space="preserve"> du </w:t>
      </w:r>
      <w:r>
        <w:t>25 avril</w:t>
      </w:r>
      <w:r w:rsidRPr="00FF10D0">
        <w:t xml:space="preserve">  2017 de la 3e chambre </w:t>
      </w:r>
      <w:r>
        <w:t xml:space="preserve">correctionnelle </w:t>
      </w:r>
      <w:r w:rsidRPr="00FF10D0">
        <w:t>du TGIHC de Dakar  (Inédit).</w:t>
      </w:r>
      <w:bookmarkEnd w:id="21"/>
    </w:p>
    <w:p w:rsidR="00D044FD" w:rsidRPr="00CC4ADC" w:rsidRDefault="00D044FD" w:rsidP="0098524B">
      <w:pPr>
        <w:spacing w:before="120" w:after="120" w:line="360" w:lineRule="auto"/>
        <w:jc w:val="both"/>
        <w:rPr>
          <w:rFonts w:ascii="Times New Roman" w:hAnsi="Times New Roman" w:cs="Times New Roman"/>
          <w:b/>
          <w:i/>
          <w:color w:val="000000" w:themeColor="text1"/>
          <w:sz w:val="24"/>
          <w:szCs w:val="24"/>
        </w:rPr>
      </w:pP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51</w:t>
      </w:r>
    </w:p>
    <w:p w:rsidR="00B6204E" w:rsidRDefault="00B6204E" w:rsidP="0098524B">
      <w:pPr>
        <w:spacing w:line="360" w:lineRule="auto"/>
        <w:jc w:val="both"/>
        <w:rPr>
          <w:rFonts w:ascii="Times New Roman" w:hAnsi="Times New Roman" w:cs="Times New Roman"/>
          <w:sz w:val="24"/>
          <w:szCs w:val="24"/>
        </w:rPr>
      </w:pPr>
      <w:r w:rsidRPr="00F93435">
        <w:rPr>
          <w:rFonts w:ascii="Times New Roman" w:hAnsi="Times New Roman" w:cs="Times New Roman"/>
          <w:sz w:val="24"/>
          <w:szCs w:val="24"/>
        </w:rPr>
        <w:t>Nul crime ou délit ne peut</w:t>
      </w:r>
      <w:r w:rsidR="002D3D74" w:rsidRPr="00F93435">
        <w:rPr>
          <w:rFonts w:ascii="Times New Roman" w:hAnsi="Times New Roman" w:cs="Times New Roman"/>
          <w:sz w:val="24"/>
          <w:szCs w:val="24"/>
        </w:rPr>
        <w:t xml:space="preserve"> </w:t>
      </w:r>
      <w:r w:rsidRPr="00F93435">
        <w:rPr>
          <w:rFonts w:ascii="Times New Roman" w:hAnsi="Times New Roman" w:cs="Times New Roman"/>
          <w:sz w:val="24"/>
          <w:szCs w:val="24"/>
        </w:rPr>
        <w:t>être excusé, ni la peine</w:t>
      </w:r>
      <w:r w:rsidR="002D3D74" w:rsidRPr="00F93435">
        <w:rPr>
          <w:rFonts w:ascii="Times New Roman" w:hAnsi="Times New Roman" w:cs="Times New Roman"/>
          <w:sz w:val="24"/>
          <w:szCs w:val="24"/>
        </w:rPr>
        <w:t xml:space="preserve"> </w:t>
      </w:r>
      <w:r w:rsidRPr="00F93435">
        <w:rPr>
          <w:rFonts w:ascii="Times New Roman" w:hAnsi="Times New Roman" w:cs="Times New Roman"/>
          <w:sz w:val="24"/>
          <w:szCs w:val="24"/>
        </w:rPr>
        <w:t>mitigée, que dans les cas et</w:t>
      </w:r>
      <w:r w:rsidR="002D3D74" w:rsidRPr="00F93435">
        <w:rPr>
          <w:rFonts w:ascii="Times New Roman" w:hAnsi="Times New Roman" w:cs="Times New Roman"/>
          <w:sz w:val="24"/>
          <w:szCs w:val="24"/>
        </w:rPr>
        <w:t xml:space="preserve"> </w:t>
      </w:r>
      <w:r w:rsidRPr="00F93435">
        <w:rPr>
          <w:rFonts w:ascii="Times New Roman" w:hAnsi="Times New Roman" w:cs="Times New Roman"/>
          <w:sz w:val="24"/>
          <w:szCs w:val="24"/>
        </w:rPr>
        <w:t>dans les circonstances où la</w:t>
      </w:r>
      <w:r w:rsidR="002D3D74" w:rsidRPr="00F93435">
        <w:rPr>
          <w:rFonts w:ascii="Times New Roman" w:hAnsi="Times New Roman" w:cs="Times New Roman"/>
          <w:sz w:val="24"/>
          <w:szCs w:val="24"/>
        </w:rPr>
        <w:t xml:space="preserve"> </w:t>
      </w:r>
      <w:r w:rsidRPr="00F93435">
        <w:rPr>
          <w:rFonts w:ascii="Times New Roman" w:hAnsi="Times New Roman" w:cs="Times New Roman"/>
          <w:sz w:val="24"/>
          <w:szCs w:val="24"/>
        </w:rPr>
        <w:t>loi déclare le fait excusable,</w:t>
      </w:r>
      <w:r w:rsidR="002D3D74" w:rsidRPr="00F93435">
        <w:rPr>
          <w:rFonts w:ascii="Times New Roman" w:hAnsi="Times New Roman" w:cs="Times New Roman"/>
          <w:sz w:val="24"/>
          <w:szCs w:val="24"/>
        </w:rPr>
        <w:t xml:space="preserve"> </w:t>
      </w:r>
      <w:r w:rsidRPr="00F93435">
        <w:rPr>
          <w:rFonts w:ascii="Times New Roman" w:hAnsi="Times New Roman" w:cs="Times New Roman"/>
          <w:sz w:val="24"/>
          <w:szCs w:val="24"/>
        </w:rPr>
        <w:t>ou permet de lui appliquer</w:t>
      </w:r>
      <w:r w:rsidR="002D3D74" w:rsidRPr="00F93435">
        <w:rPr>
          <w:rFonts w:ascii="Times New Roman" w:hAnsi="Times New Roman" w:cs="Times New Roman"/>
          <w:sz w:val="24"/>
          <w:szCs w:val="24"/>
        </w:rPr>
        <w:t xml:space="preserve"> </w:t>
      </w:r>
      <w:r w:rsidRPr="00F93435">
        <w:rPr>
          <w:rFonts w:ascii="Times New Roman" w:hAnsi="Times New Roman" w:cs="Times New Roman"/>
          <w:sz w:val="24"/>
          <w:szCs w:val="24"/>
        </w:rPr>
        <w:t>une peine moins rigoureuse.</w:t>
      </w:r>
    </w:p>
    <w:p w:rsidR="006D42CF" w:rsidRPr="005528EC" w:rsidRDefault="006D42CF" w:rsidP="0098524B">
      <w:pPr>
        <w:pStyle w:val="Paragraphedeliste"/>
        <w:numPr>
          <w:ilvl w:val="0"/>
          <w:numId w:val="1"/>
        </w:numPr>
        <w:autoSpaceDE w:val="0"/>
        <w:autoSpaceDN w:val="0"/>
        <w:adjustRightInd w:val="0"/>
        <w:spacing w:before="120" w:after="120" w:line="360" w:lineRule="auto"/>
        <w:jc w:val="both"/>
        <w:rPr>
          <w:rFonts w:ascii="Times New Roman" w:hAnsi="Times New Roman" w:cs="Times New Roman"/>
          <w:b/>
          <w:i/>
          <w:iCs/>
          <w:color w:val="000000" w:themeColor="text1"/>
          <w:sz w:val="24"/>
          <w:szCs w:val="24"/>
        </w:rPr>
      </w:pPr>
      <w:r w:rsidRPr="00065F17">
        <w:rPr>
          <w:rFonts w:ascii="Times New Roman" w:hAnsi="Times New Roman" w:cs="Times New Roman"/>
          <w:i/>
          <w:sz w:val="24"/>
          <w:szCs w:val="24"/>
          <w:u w:val="single"/>
        </w:rPr>
        <w:t>Commentaire</w:t>
      </w:r>
      <w:r w:rsidRPr="00065F17">
        <w:rPr>
          <w:rFonts w:ascii="Times New Roman" w:hAnsi="Times New Roman" w:cs="Times New Roman"/>
          <w:i/>
          <w:sz w:val="24"/>
          <w:szCs w:val="24"/>
        </w:rPr>
        <w:t xml:space="preserve"> : ce texte </w:t>
      </w:r>
      <w:r w:rsidR="00065F17" w:rsidRPr="00065F17">
        <w:rPr>
          <w:rFonts w:ascii="Times New Roman" w:hAnsi="Times New Roman" w:cs="Times New Roman"/>
          <w:i/>
          <w:sz w:val="24"/>
          <w:szCs w:val="24"/>
        </w:rPr>
        <w:t xml:space="preserve">constitue un fondement légal </w:t>
      </w:r>
      <w:r w:rsidRPr="00065F17">
        <w:rPr>
          <w:rFonts w:ascii="Times New Roman" w:hAnsi="Times New Roman" w:cs="Times New Roman"/>
          <w:i/>
          <w:sz w:val="24"/>
          <w:szCs w:val="24"/>
        </w:rPr>
        <w:t>des faits excusables</w:t>
      </w:r>
      <w:r w:rsidR="005528EC">
        <w:rPr>
          <w:rFonts w:ascii="Times New Roman" w:hAnsi="Times New Roman" w:cs="Times New Roman"/>
          <w:i/>
          <w:sz w:val="24"/>
          <w:szCs w:val="24"/>
        </w:rPr>
        <w:t xml:space="preserve"> (cas de l’excuse de minorité)</w:t>
      </w:r>
      <w:r w:rsidRPr="00065F17">
        <w:rPr>
          <w:rFonts w:ascii="Times New Roman" w:hAnsi="Times New Roman" w:cs="Times New Roman"/>
          <w:i/>
          <w:sz w:val="24"/>
          <w:szCs w:val="24"/>
        </w:rPr>
        <w:t xml:space="preserve"> et des </w:t>
      </w:r>
      <w:r w:rsidR="00065F17" w:rsidRPr="00065F17">
        <w:rPr>
          <w:rFonts w:ascii="Times New Roman" w:hAnsi="Times New Roman" w:cs="Times New Roman"/>
          <w:i/>
          <w:sz w:val="24"/>
          <w:szCs w:val="24"/>
        </w:rPr>
        <w:t>circonstances atténuantes.</w:t>
      </w:r>
    </w:p>
    <w:p w:rsidR="00017738" w:rsidRPr="00017738" w:rsidRDefault="005528EC" w:rsidP="0098524B">
      <w:pPr>
        <w:pStyle w:val="Paragraphedeliste"/>
        <w:numPr>
          <w:ilvl w:val="0"/>
          <w:numId w:val="10"/>
        </w:numPr>
        <w:autoSpaceDE w:val="0"/>
        <w:autoSpaceDN w:val="0"/>
        <w:adjustRightInd w:val="0"/>
        <w:spacing w:before="120" w:after="120" w:line="360" w:lineRule="auto"/>
        <w:jc w:val="both"/>
        <w:rPr>
          <w:rFonts w:ascii="Times New Roman" w:hAnsi="Times New Roman" w:cs="Times New Roman"/>
          <w:b/>
          <w:bCs/>
          <w:sz w:val="24"/>
          <w:szCs w:val="24"/>
        </w:rPr>
      </w:pPr>
      <w:r w:rsidRPr="00017738">
        <w:rPr>
          <w:rFonts w:ascii="Times New Roman" w:hAnsi="Times New Roman" w:cs="Times New Roman"/>
          <w:i/>
          <w:sz w:val="24"/>
          <w:szCs w:val="24"/>
        </w:rPr>
        <w:t>Voir l’article 567</w:t>
      </w:r>
      <w:r w:rsidR="00017738">
        <w:rPr>
          <w:rFonts w:ascii="Times New Roman" w:hAnsi="Times New Roman" w:cs="Times New Roman"/>
          <w:i/>
          <w:sz w:val="24"/>
          <w:szCs w:val="24"/>
        </w:rPr>
        <w:t xml:space="preserve"> de</w:t>
      </w:r>
      <w:r w:rsidR="00017738" w:rsidRPr="00017738">
        <w:rPr>
          <w:rFonts w:ascii="Times New Roman" w:hAnsi="Times New Roman" w:cs="Times New Roman"/>
          <w:color w:val="000000" w:themeColor="text1"/>
          <w:sz w:val="24"/>
          <w:szCs w:val="24"/>
        </w:rPr>
        <w:t xml:space="preserve"> </w:t>
      </w:r>
      <w:r w:rsidR="00017738" w:rsidRPr="00017738">
        <w:rPr>
          <w:rFonts w:ascii="Times New Roman" w:hAnsi="Times New Roman" w:cs="Times New Roman"/>
          <w:i/>
          <w:sz w:val="24"/>
          <w:szCs w:val="24"/>
        </w:rPr>
        <w:t>la loi n°65-61du 21 juillet 1965 portant Code de procédure</w:t>
      </w:r>
      <w:r w:rsidR="00017738">
        <w:rPr>
          <w:rFonts w:ascii="Times New Roman" w:hAnsi="Times New Roman" w:cs="Times New Roman"/>
          <w:i/>
          <w:sz w:val="24"/>
          <w:szCs w:val="24"/>
        </w:rPr>
        <w:t>.</w:t>
      </w:r>
      <w:r w:rsidRPr="00017738">
        <w:rPr>
          <w:rFonts w:ascii="Times New Roman" w:hAnsi="Times New Roman" w:cs="Times New Roman"/>
          <w:i/>
          <w:sz w:val="24"/>
          <w:szCs w:val="24"/>
        </w:rPr>
        <w:t xml:space="preserve"> </w:t>
      </w:r>
    </w:p>
    <w:p w:rsidR="00B6204E" w:rsidRPr="00017738" w:rsidRDefault="00B6204E" w:rsidP="00017738">
      <w:pPr>
        <w:autoSpaceDE w:val="0"/>
        <w:autoSpaceDN w:val="0"/>
        <w:adjustRightInd w:val="0"/>
        <w:spacing w:before="120" w:after="120" w:line="360" w:lineRule="auto"/>
        <w:jc w:val="both"/>
        <w:rPr>
          <w:rFonts w:ascii="Times New Roman" w:hAnsi="Times New Roman" w:cs="Times New Roman"/>
          <w:b/>
          <w:bCs/>
          <w:sz w:val="24"/>
          <w:szCs w:val="24"/>
        </w:rPr>
      </w:pPr>
      <w:r w:rsidRPr="00017738">
        <w:rPr>
          <w:rFonts w:ascii="Times New Roman" w:hAnsi="Times New Roman" w:cs="Times New Roman"/>
          <w:b/>
          <w:bCs/>
          <w:sz w:val="24"/>
          <w:szCs w:val="24"/>
        </w:rPr>
        <w:t>Article 52</w:t>
      </w:r>
    </w:p>
    <w:p w:rsidR="00B6204E" w:rsidRPr="00230974" w:rsidRDefault="00B6204E" w:rsidP="0098524B">
      <w:pPr>
        <w:spacing w:line="360" w:lineRule="auto"/>
        <w:jc w:val="both"/>
        <w:rPr>
          <w:rFonts w:ascii="Times New Roman" w:hAnsi="Times New Roman" w:cs="Times New Roman"/>
          <w:b/>
          <w:sz w:val="24"/>
          <w:szCs w:val="24"/>
        </w:rPr>
      </w:pPr>
      <w:r w:rsidRPr="00230974">
        <w:rPr>
          <w:rFonts w:ascii="Times New Roman" w:hAnsi="Times New Roman" w:cs="Times New Roman"/>
          <w:b/>
          <w:sz w:val="24"/>
          <w:szCs w:val="24"/>
        </w:rPr>
        <w:t>Si, en raison des</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circonstances et de la</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personnalité du délinquant, il</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est décidé qu'un mineur âgé</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de plus de treize ans doit faire</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l'objet d'une condamnation</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pénale, les peines seront</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prononcées ainsi qu'il suit:</w:t>
      </w:r>
    </w:p>
    <w:p w:rsidR="00B6204E" w:rsidRPr="00230974" w:rsidRDefault="00B6204E" w:rsidP="0098524B">
      <w:pPr>
        <w:spacing w:line="360" w:lineRule="auto"/>
        <w:jc w:val="both"/>
        <w:rPr>
          <w:rFonts w:ascii="Times New Roman" w:hAnsi="Times New Roman" w:cs="Times New Roman"/>
          <w:b/>
          <w:sz w:val="24"/>
          <w:szCs w:val="24"/>
        </w:rPr>
      </w:pPr>
      <w:r w:rsidRPr="00230974">
        <w:rPr>
          <w:rFonts w:ascii="Times New Roman" w:hAnsi="Times New Roman" w:cs="Times New Roman"/>
          <w:b/>
          <w:sz w:val="24"/>
          <w:szCs w:val="24"/>
        </w:rPr>
        <w:t>S'il a encouru la peine de</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mort, des travaux forcés à</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perpétuité, il sera condamné</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à une peine de dix à vingt ans</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d'emprisonnement.</w:t>
      </w:r>
    </w:p>
    <w:p w:rsidR="00B6204E" w:rsidRPr="00230974" w:rsidRDefault="00B6204E" w:rsidP="0098524B">
      <w:pPr>
        <w:spacing w:line="360" w:lineRule="auto"/>
        <w:jc w:val="both"/>
        <w:rPr>
          <w:rFonts w:ascii="Times New Roman" w:hAnsi="Times New Roman" w:cs="Times New Roman"/>
          <w:b/>
          <w:sz w:val="24"/>
          <w:szCs w:val="24"/>
        </w:rPr>
      </w:pPr>
      <w:r w:rsidRPr="00230974">
        <w:rPr>
          <w:rFonts w:ascii="Times New Roman" w:hAnsi="Times New Roman" w:cs="Times New Roman"/>
          <w:b/>
          <w:sz w:val="24"/>
          <w:szCs w:val="24"/>
        </w:rPr>
        <w:t>S'il a encouru la peine des</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travaux forcés à temps de dix</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à vingt ans ou de cinq à dix</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ans, de la détention criminelle</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de dix à vingt ans ou de cinq</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à dix ans, il sera condamné à</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l'emprisonnement pour un</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temps égal à la moitié au plus</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de celui pour lequel il aurait</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pu être condamné à l'une de</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ces peines.</w:t>
      </w:r>
    </w:p>
    <w:p w:rsidR="00B6204E" w:rsidRDefault="00B6204E" w:rsidP="0098524B">
      <w:pPr>
        <w:spacing w:line="360" w:lineRule="auto"/>
        <w:jc w:val="both"/>
        <w:rPr>
          <w:rFonts w:ascii="Times New Roman" w:hAnsi="Times New Roman" w:cs="Times New Roman"/>
          <w:b/>
          <w:sz w:val="24"/>
          <w:szCs w:val="24"/>
        </w:rPr>
      </w:pPr>
      <w:r w:rsidRPr="00230974">
        <w:rPr>
          <w:rFonts w:ascii="Times New Roman" w:hAnsi="Times New Roman" w:cs="Times New Roman"/>
          <w:b/>
          <w:sz w:val="24"/>
          <w:szCs w:val="24"/>
        </w:rPr>
        <w:t>S'il a encouru la peine de</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la dégradation civique il sera</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condamné à</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l'emprisonnement pour deux</w:t>
      </w:r>
      <w:r w:rsidR="00A56472" w:rsidRPr="00230974">
        <w:rPr>
          <w:rFonts w:ascii="Times New Roman" w:hAnsi="Times New Roman" w:cs="Times New Roman"/>
          <w:b/>
          <w:sz w:val="24"/>
          <w:szCs w:val="24"/>
        </w:rPr>
        <w:t xml:space="preserve"> </w:t>
      </w:r>
      <w:r w:rsidRPr="00230974">
        <w:rPr>
          <w:rFonts w:ascii="Times New Roman" w:hAnsi="Times New Roman" w:cs="Times New Roman"/>
          <w:b/>
          <w:sz w:val="24"/>
          <w:szCs w:val="24"/>
        </w:rPr>
        <w:t>ans au plus.</w:t>
      </w:r>
    </w:p>
    <w:p w:rsidR="009219A8" w:rsidRPr="00875702" w:rsidRDefault="00461987" w:rsidP="0098524B">
      <w:pPr>
        <w:pStyle w:val="Paragraphedeliste"/>
        <w:numPr>
          <w:ilvl w:val="0"/>
          <w:numId w:val="1"/>
        </w:numPr>
        <w:autoSpaceDE w:val="0"/>
        <w:autoSpaceDN w:val="0"/>
        <w:adjustRightInd w:val="0"/>
        <w:spacing w:before="120" w:after="120" w:line="360" w:lineRule="auto"/>
        <w:jc w:val="both"/>
        <w:rPr>
          <w:rFonts w:ascii="Times New Roman" w:hAnsi="Times New Roman" w:cs="Times New Roman"/>
          <w:b/>
          <w:i/>
          <w:iCs/>
          <w:color w:val="000000" w:themeColor="text1"/>
          <w:sz w:val="24"/>
          <w:szCs w:val="24"/>
        </w:rPr>
      </w:pPr>
      <w:r w:rsidRPr="00875702">
        <w:rPr>
          <w:rFonts w:ascii="Times New Roman" w:hAnsi="Times New Roman" w:cs="Times New Roman"/>
          <w:i/>
          <w:sz w:val="24"/>
          <w:szCs w:val="24"/>
        </w:rPr>
        <w:t>C’est à bon droit qu’un Tribunal de Grande Instance statuant  pour Enfant a condamné un mineur âgé de</w:t>
      </w:r>
      <w:r w:rsidR="00EC3645" w:rsidRPr="00875702">
        <w:rPr>
          <w:rFonts w:ascii="Times New Roman" w:hAnsi="Times New Roman" w:cs="Times New Roman"/>
          <w:i/>
          <w:sz w:val="24"/>
          <w:szCs w:val="24"/>
        </w:rPr>
        <w:t xml:space="preserve"> plus de treize ans, coupable de meurtre</w:t>
      </w:r>
      <w:r w:rsidRPr="00875702">
        <w:rPr>
          <w:rFonts w:ascii="Times New Roman" w:hAnsi="Times New Roman" w:cs="Times New Roman"/>
          <w:i/>
          <w:sz w:val="24"/>
          <w:szCs w:val="24"/>
        </w:rPr>
        <w:t>,</w:t>
      </w:r>
      <w:r w:rsidR="00EC3645" w:rsidRPr="00875702">
        <w:rPr>
          <w:rFonts w:ascii="Times New Roman" w:eastAsia="Times New Roman" w:hAnsi="Times New Roman" w:cs="Times New Roman"/>
          <w:sz w:val="24"/>
          <w:szCs w:val="24"/>
        </w:rPr>
        <w:t xml:space="preserve"> </w:t>
      </w:r>
      <w:r w:rsidR="00EC3645" w:rsidRPr="00875702">
        <w:rPr>
          <w:rFonts w:ascii="Times New Roman" w:hAnsi="Times New Roman" w:cs="Times New Roman"/>
          <w:i/>
          <w:sz w:val="24"/>
          <w:szCs w:val="24"/>
        </w:rPr>
        <w:t xml:space="preserve">à cinq (05) ans </w:t>
      </w:r>
      <w:r w:rsidR="00EC3645" w:rsidRPr="00875702">
        <w:rPr>
          <w:rFonts w:ascii="Times New Roman" w:hAnsi="Times New Roman" w:cs="Times New Roman"/>
          <w:i/>
          <w:sz w:val="24"/>
          <w:szCs w:val="24"/>
        </w:rPr>
        <w:lastRenderedPageBreak/>
        <w:t>d’emprisonnement dont un (01) an ferme, en application des articles  52, 280,289 et 433 du Code Pénal et 704 du</w:t>
      </w:r>
      <w:r w:rsidRPr="00875702">
        <w:rPr>
          <w:rFonts w:ascii="Times New Roman" w:hAnsi="Times New Roman" w:cs="Times New Roman"/>
          <w:i/>
          <w:sz w:val="24"/>
          <w:szCs w:val="24"/>
        </w:rPr>
        <w:t xml:space="preserve"> </w:t>
      </w:r>
      <w:r w:rsidR="00EC3645" w:rsidRPr="00875702">
        <w:rPr>
          <w:rFonts w:ascii="Times New Roman" w:hAnsi="Times New Roman" w:cs="Times New Roman"/>
          <w:i/>
          <w:sz w:val="24"/>
          <w:szCs w:val="24"/>
        </w:rPr>
        <w:t>code de procédure pénale.</w:t>
      </w:r>
      <w:r w:rsidR="009219A8" w:rsidRPr="00875702">
        <w:rPr>
          <w:rFonts w:ascii="Times New Roman" w:hAnsi="Times New Roman" w:cs="Times New Roman"/>
          <w:b/>
          <w:i/>
          <w:color w:val="000000" w:themeColor="text1"/>
          <w:sz w:val="24"/>
          <w:szCs w:val="24"/>
        </w:rPr>
        <w:t xml:space="preserve"> </w:t>
      </w:r>
    </w:p>
    <w:p w:rsidR="009219A8" w:rsidRDefault="009219A8" w:rsidP="009762AA">
      <w:pPr>
        <w:pStyle w:val="Titre1"/>
      </w:pPr>
      <w:bookmarkStart w:id="22" w:name="_Toc521059404"/>
      <w:r w:rsidRPr="00834D5F">
        <w:t xml:space="preserve">Ministère Public et </w:t>
      </w:r>
      <w:r w:rsidR="00AA6183" w:rsidRPr="00AA6183">
        <w:t>Mouhamed Ramadan BA</w:t>
      </w:r>
      <w:r w:rsidR="009D2065">
        <w:t xml:space="preserve"> </w:t>
      </w:r>
      <w:r w:rsidR="009D2065" w:rsidRPr="00222C9C">
        <w:t>(</w:t>
      </w:r>
      <w:r w:rsidR="009D2065" w:rsidRPr="009D2065">
        <w:t>Mouhamadou Woury BA</w:t>
      </w:r>
      <w:r w:rsidR="009D2065" w:rsidRPr="00222C9C">
        <w:t>, civilement responsable)</w:t>
      </w:r>
      <w:r w:rsidR="00AA6183" w:rsidRPr="00AA6183">
        <w:t xml:space="preserve"> </w:t>
      </w:r>
      <w:r w:rsidRPr="00834D5F">
        <w:t>contre</w:t>
      </w:r>
      <w:r w:rsidR="00AA6183" w:rsidRPr="00AA6183">
        <w:rPr>
          <w:rFonts w:eastAsia="Times New Roman"/>
        </w:rPr>
        <w:t xml:space="preserve"> </w:t>
      </w:r>
      <w:r w:rsidR="00AA6183" w:rsidRPr="00AA6183">
        <w:t>Mohamed MBAYE</w:t>
      </w:r>
      <w:r w:rsidRPr="00834D5F">
        <w:t>, Jugement N°</w:t>
      </w:r>
      <w:r w:rsidR="00D113D2">
        <w:t xml:space="preserve"> </w:t>
      </w:r>
      <w:r w:rsidR="00D113D2" w:rsidRPr="00D113D2">
        <w:t>148/2016</w:t>
      </w:r>
      <w:r w:rsidR="00D113D2">
        <w:t xml:space="preserve"> </w:t>
      </w:r>
      <w:r w:rsidRPr="00834D5F">
        <w:t xml:space="preserve">du </w:t>
      </w:r>
      <w:r w:rsidR="00D113D2">
        <w:t xml:space="preserve">31 mars </w:t>
      </w:r>
      <w:r w:rsidRPr="00834D5F">
        <w:t>2017 rendu par le TPE de Dakar (Inédit).</w:t>
      </w:r>
      <w:bookmarkEnd w:id="22"/>
      <w:r w:rsidRPr="00834D5F">
        <w:t xml:space="preserve"> </w:t>
      </w:r>
    </w:p>
    <w:p w:rsidR="009219A8" w:rsidRPr="00997362" w:rsidRDefault="0072171E" w:rsidP="00997362">
      <w:pPr>
        <w:pStyle w:val="Paragraphedeliste"/>
        <w:numPr>
          <w:ilvl w:val="0"/>
          <w:numId w:val="3"/>
        </w:numPr>
        <w:spacing w:before="120" w:after="120" w:line="360"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Idem de la jurisprudence</w:t>
      </w:r>
      <w:r w:rsidRPr="00834D5F">
        <w:rPr>
          <w:rFonts w:ascii="Times New Roman" w:hAnsi="Times New Roman" w:cs="Times New Roman"/>
          <w:b/>
          <w:i/>
          <w:color w:val="000000" w:themeColor="text1"/>
          <w:sz w:val="24"/>
          <w:szCs w:val="24"/>
        </w:rPr>
        <w:t xml:space="preserve"> Ministère Public</w:t>
      </w:r>
      <w:r>
        <w:rPr>
          <w:rFonts w:ascii="Times New Roman" w:hAnsi="Times New Roman" w:cs="Times New Roman"/>
          <w:b/>
          <w:i/>
          <w:color w:val="000000" w:themeColor="text1"/>
          <w:sz w:val="24"/>
          <w:szCs w:val="24"/>
        </w:rPr>
        <w:t xml:space="preserve"> et </w:t>
      </w:r>
      <w:r w:rsidRPr="0072171E">
        <w:rPr>
          <w:rFonts w:ascii="Times New Roman" w:hAnsi="Times New Roman" w:cs="Times New Roman"/>
          <w:b/>
          <w:i/>
          <w:color w:val="000000" w:themeColor="text1"/>
          <w:sz w:val="24"/>
          <w:szCs w:val="24"/>
        </w:rPr>
        <w:t>Mouhamadou Saliou DIALLO</w:t>
      </w:r>
      <w:r w:rsidR="00997362">
        <w:rPr>
          <w:rFonts w:ascii="Times New Roman" w:hAnsi="Times New Roman" w:cs="Times New Roman"/>
          <w:b/>
          <w:i/>
          <w:color w:val="000000" w:themeColor="text1"/>
          <w:sz w:val="24"/>
          <w:szCs w:val="24"/>
        </w:rPr>
        <w:t xml:space="preserve"> </w:t>
      </w:r>
      <w:r w:rsidRPr="00997362">
        <w:rPr>
          <w:rFonts w:ascii="Times New Roman" w:hAnsi="Times New Roman" w:cs="Times New Roman"/>
          <w:b/>
          <w:i/>
          <w:color w:val="000000" w:themeColor="text1"/>
          <w:sz w:val="24"/>
          <w:szCs w:val="24"/>
        </w:rPr>
        <w:t>contre</w:t>
      </w:r>
      <w:r w:rsidRPr="00997362">
        <w:rPr>
          <w:rFonts w:ascii="Times New Roman" w:eastAsia="Times New Roman" w:hAnsi="Times New Roman" w:cs="Times New Roman"/>
          <w:b/>
          <w:sz w:val="24"/>
          <w:szCs w:val="24"/>
        </w:rPr>
        <w:t xml:space="preserve"> </w:t>
      </w:r>
      <w:r w:rsidRPr="00997362">
        <w:rPr>
          <w:rFonts w:ascii="Times New Roman" w:hAnsi="Times New Roman" w:cs="Times New Roman"/>
          <w:b/>
          <w:i/>
          <w:color w:val="000000" w:themeColor="text1"/>
          <w:sz w:val="24"/>
          <w:szCs w:val="24"/>
        </w:rPr>
        <w:t xml:space="preserve">Mamadou Siradio DIALLO (CR: Aminata DIALLO), </w:t>
      </w:r>
      <w:r w:rsidR="00997362" w:rsidRPr="00997362">
        <w:rPr>
          <w:rFonts w:ascii="Times New Roman" w:hAnsi="Times New Roman" w:cs="Times New Roman"/>
          <w:b/>
          <w:i/>
          <w:color w:val="000000" w:themeColor="text1"/>
          <w:sz w:val="24"/>
          <w:szCs w:val="24"/>
        </w:rPr>
        <w:t>jugement TPE</w:t>
      </w:r>
      <w:r w:rsidRPr="00997362">
        <w:rPr>
          <w:rFonts w:ascii="Times New Roman" w:hAnsi="Times New Roman" w:cs="Times New Roman"/>
          <w:b/>
          <w:i/>
          <w:color w:val="000000" w:themeColor="text1"/>
          <w:sz w:val="24"/>
          <w:szCs w:val="24"/>
        </w:rPr>
        <w:t xml:space="preserve"> N°</w:t>
      </w:r>
      <w:r w:rsidR="00997362" w:rsidRPr="00997362">
        <w:rPr>
          <w:rFonts w:ascii="Times New Roman" w:hAnsi="Times New Roman" w:cs="Times New Roman"/>
          <w:b/>
          <w:i/>
          <w:color w:val="000000" w:themeColor="text1"/>
          <w:sz w:val="24"/>
          <w:szCs w:val="24"/>
        </w:rPr>
        <w:t>188</w:t>
      </w:r>
      <w:r w:rsidRPr="00997362">
        <w:rPr>
          <w:rFonts w:ascii="Times New Roman" w:hAnsi="Times New Roman" w:cs="Times New Roman"/>
          <w:b/>
          <w:i/>
          <w:color w:val="000000" w:themeColor="text1"/>
          <w:sz w:val="24"/>
          <w:szCs w:val="24"/>
        </w:rPr>
        <w:t xml:space="preserve"> du </w:t>
      </w:r>
      <w:r w:rsidR="00997362" w:rsidRPr="00997362">
        <w:rPr>
          <w:rFonts w:ascii="Times New Roman" w:hAnsi="Times New Roman" w:cs="Times New Roman"/>
          <w:b/>
          <w:i/>
          <w:color w:val="000000" w:themeColor="text1"/>
          <w:sz w:val="24"/>
          <w:szCs w:val="24"/>
        </w:rPr>
        <w:t>21 avril 2017</w:t>
      </w:r>
      <w:r w:rsidRPr="00997362">
        <w:rPr>
          <w:rFonts w:ascii="Times New Roman" w:hAnsi="Times New Roman" w:cs="Times New Roman"/>
          <w:b/>
          <w:i/>
          <w:color w:val="000000" w:themeColor="text1"/>
          <w:sz w:val="24"/>
          <w:szCs w:val="24"/>
        </w:rPr>
        <w:t>.</w:t>
      </w:r>
    </w:p>
    <w:p w:rsidR="00D044FD" w:rsidRPr="00230974" w:rsidRDefault="00D044FD" w:rsidP="0098524B">
      <w:pPr>
        <w:pStyle w:val="Paragraphedeliste"/>
        <w:spacing w:before="120" w:after="120" w:line="360" w:lineRule="auto"/>
        <w:ind w:left="360"/>
        <w:jc w:val="both"/>
        <w:rPr>
          <w:rFonts w:ascii="Times New Roman" w:hAnsi="Times New Roman" w:cs="Times New Roman"/>
          <w:b/>
          <w:sz w:val="24"/>
          <w:szCs w:val="24"/>
        </w:rPr>
      </w:pP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53</w:t>
      </w:r>
    </w:p>
    <w:p w:rsidR="00B6204E" w:rsidRDefault="00B6204E" w:rsidP="0098524B">
      <w:pPr>
        <w:spacing w:line="360" w:lineRule="auto"/>
        <w:jc w:val="both"/>
        <w:rPr>
          <w:rFonts w:ascii="Times New Roman" w:hAnsi="Times New Roman" w:cs="Times New Roman"/>
          <w:b/>
          <w:sz w:val="24"/>
          <w:szCs w:val="24"/>
        </w:rPr>
      </w:pPr>
      <w:r w:rsidRPr="003416CB">
        <w:rPr>
          <w:rFonts w:ascii="Times New Roman" w:hAnsi="Times New Roman" w:cs="Times New Roman"/>
          <w:b/>
          <w:sz w:val="24"/>
          <w:szCs w:val="24"/>
        </w:rPr>
        <w:t>Si l'infraction commise par</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un mineur âgé de plus de</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treize ans est un délit ou une</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contravention, la peine qui</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pourra être prononcée contre</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lui dans les conditions de</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l'article 52 ne pourra, sous la</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même réserve, s'élever au</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dessus</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de la moitié de celle à</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laquelle il aurait été</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condamné s'il avait eu dix-huit</w:t>
      </w:r>
      <w:r w:rsidR="00A56472" w:rsidRPr="003416CB">
        <w:rPr>
          <w:rFonts w:ascii="Times New Roman" w:hAnsi="Times New Roman" w:cs="Times New Roman"/>
          <w:b/>
          <w:sz w:val="24"/>
          <w:szCs w:val="24"/>
        </w:rPr>
        <w:t xml:space="preserve"> </w:t>
      </w:r>
      <w:r w:rsidRPr="003416CB">
        <w:rPr>
          <w:rFonts w:ascii="Times New Roman" w:hAnsi="Times New Roman" w:cs="Times New Roman"/>
          <w:b/>
          <w:sz w:val="24"/>
          <w:szCs w:val="24"/>
        </w:rPr>
        <w:t>ans.</w:t>
      </w:r>
    </w:p>
    <w:p w:rsidR="0047163B" w:rsidRPr="00D044FD" w:rsidRDefault="00BC2CC9" w:rsidP="00D044FD">
      <w:pPr>
        <w:pStyle w:val="Paragraphedeliste"/>
        <w:numPr>
          <w:ilvl w:val="0"/>
          <w:numId w:val="1"/>
        </w:numPr>
        <w:spacing w:before="120" w:after="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C’est à bon droit qu’une Cour d’Appel a confirmé  une décision d’un Tribunal de Grande Instance statuant  pour Enfant qui a condamné un mineur âgé de plus de treize ans, coupable du délit </w:t>
      </w:r>
      <w:r w:rsidR="0047163B">
        <w:rPr>
          <w:rFonts w:ascii="Times New Roman" w:hAnsi="Times New Roman" w:cs="Times New Roman"/>
          <w:i/>
          <w:sz w:val="24"/>
          <w:szCs w:val="24"/>
        </w:rPr>
        <w:t xml:space="preserve">de coups et blessures volontaires, </w:t>
      </w:r>
      <w:r>
        <w:rPr>
          <w:rFonts w:ascii="Times New Roman" w:hAnsi="Times New Roman" w:cs="Times New Roman"/>
          <w:i/>
          <w:sz w:val="24"/>
          <w:szCs w:val="24"/>
        </w:rPr>
        <w:t>à une peine d’emprisonnement d’un an ferme</w:t>
      </w:r>
      <w:r w:rsidR="0047163B">
        <w:rPr>
          <w:rFonts w:ascii="Times New Roman" w:hAnsi="Times New Roman" w:cs="Times New Roman"/>
          <w:i/>
          <w:sz w:val="24"/>
          <w:szCs w:val="24"/>
        </w:rPr>
        <w:t>.</w:t>
      </w:r>
    </w:p>
    <w:p w:rsidR="0047163B" w:rsidRDefault="0047163B" w:rsidP="009762AA">
      <w:pPr>
        <w:pStyle w:val="Titre1"/>
      </w:pPr>
      <w:bookmarkStart w:id="23" w:name="_Toc521059405"/>
      <w:r w:rsidRPr="001762B4">
        <w:t xml:space="preserve">Cour d’Appel de Thiès  (chambre des mineurs), arrêt n° </w:t>
      </w:r>
      <w:r w:rsidR="001762B4">
        <w:t>06</w:t>
      </w:r>
      <w:r w:rsidRPr="001762B4">
        <w:t xml:space="preserve"> du 17/04/2013,  Ministère Public et </w:t>
      </w:r>
      <w:r w:rsidR="001762B4" w:rsidRPr="001762B4">
        <w:t xml:space="preserve">Yaya DEMBELE </w:t>
      </w:r>
      <w:r w:rsidRPr="001762B4">
        <w:t xml:space="preserve">contre </w:t>
      </w:r>
      <w:r w:rsidR="001762B4" w:rsidRPr="001762B4">
        <w:t>Mamadou BA es qualité de</w:t>
      </w:r>
      <w:r w:rsidR="00AC0FDC">
        <w:t xml:space="preserve"> Amadou BA,</w:t>
      </w:r>
      <w:r w:rsidR="001762B4" w:rsidRPr="001762B4">
        <w:t xml:space="preserve"> son fils â</w:t>
      </w:r>
      <w:r w:rsidR="001762B4">
        <w:t>gé  de</w:t>
      </w:r>
      <w:r w:rsidR="001762B4" w:rsidRPr="001762B4">
        <w:t xml:space="preserve"> 15 ans</w:t>
      </w:r>
      <w:r w:rsidRPr="001762B4">
        <w:t>.</w:t>
      </w:r>
      <w:bookmarkEnd w:id="23"/>
    </w:p>
    <w:p w:rsidR="00222C9C" w:rsidRDefault="00222C9C" w:rsidP="0098524B">
      <w:pPr>
        <w:pStyle w:val="Paragraphedeliste"/>
        <w:numPr>
          <w:ilvl w:val="0"/>
          <w:numId w:val="3"/>
        </w:numPr>
        <w:spacing w:before="120" w:after="120" w:line="360" w:lineRule="auto"/>
        <w:jc w:val="both"/>
        <w:rPr>
          <w:rFonts w:ascii="Times New Roman" w:hAnsi="Times New Roman" w:cs="Times New Roman"/>
          <w:b/>
          <w:i/>
          <w:color w:val="000000" w:themeColor="text1"/>
          <w:sz w:val="24"/>
          <w:szCs w:val="24"/>
        </w:rPr>
      </w:pPr>
      <w:r w:rsidRPr="00222C9C">
        <w:rPr>
          <w:rFonts w:ascii="Times New Roman" w:hAnsi="Times New Roman" w:cs="Times New Roman"/>
          <w:color w:val="000000" w:themeColor="text1"/>
          <w:sz w:val="24"/>
          <w:szCs w:val="24"/>
        </w:rPr>
        <w:t>Idem de la jurisprudence</w:t>
      </w:r>
      <w:r w:rsidRPr="00222C9C">
        <w:rPr>
          <w:rFonts w:ascii="Times New Roman" w:hAnsi="Times New Roman" w:cs="Times New Roman"/>
          <w:b/>
          <w:i/>
          <w:color w:val="000000" w:themeColor="text1"/>
          <w:sz w:val="24"/>
          <w:szCs w:val="24"/>
        </w:rPr>
        <w:t xml:space="preserve"> Ministère Public et Mai NIANG  contre Ahmed BA dit OGO (Ibrahima BA, civilement responsable) Arrêt de la Cour d’Appel de Dakar (Chambre des mineurs) N°11 du 16 mars 2011.</w:t>
      </w:r>
    </w:p>
    <w:p w:rsidR="00222C9C" w:rsidRPr="00222C9C" w:rsidRDefault="00222C9C" w:rsidP="0098524B">
      <w:pPr>
        <w:pStyle w:val="Paragraphedeliste"/>
        <w:spacing w:before="120" w:after="120" w:line="360" w:lineRule="auto"/>
        <w:jc w:val="both"/>
        <w:rPr>
          <w:rFonts w:ascii="Times New Roman" w:hAnsi="Times New Roman" w:cs="Times New Roman"/>
          <w:b/>
          <w:i/>
          <w:color w:val="000000" w:themeColor="text1"/>
          <w:sz w:val="24"/>
          <w:szCs w:val="24"/>
        </w:rPr>
      </w:pPr>
    </w:p>
    <w:p w:rsidR="002C0A83" w:rsidRDefault="002C0A83" w:rsidP="0098524B">
      <w:pPr>
        <w:pStyle w:val="Paragraphedeliste"/>
        <w:numPr>
          <w:ilvl w:val="0"/>
          <w:numId w:val="3"/>
        </w:numPr>
        <w:spacing w:before="120" w:after="120" w:line="360"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Idem de la jurisprudence</w:t>
      </w:r>
      <w:r w:rsidRPr="00834D5F">
        <w:rPr>
          <w:rFonts w:ascii="Times New Roman" w:hAnsi="Times New Roman" w:cs="Times New Roman"/>
          <w:b/>
          <w:i/>
          <w:color w:val="000000" w:themeColor="text1"/>
          <w:sz w:val="24"/>
          <w:szCs w:val="24"/>
        </w:rPr>
        <w:t xml:space="preserve"> Ministère Public</w:t>
      </w:r>
      <w:r>
        <w:rPr>
          <w:rFonts w:ascii="Times New Roman" w:hAnsi="Times New Roman" w:cs="Times New Roman"/>
          <w:b/>
          <w:i/>
          <w:color w:val="000000" w:themeColor="text1"/>
          <w:sz w:val="24"/>
          <w:szCs w:val="24"/>
        </w:rPr>
        <w:t xml:space="preserve"> et Adja</w:t>
      </w:r>
      <w:r w:rsidR="00222C9C">
        <w:rPr>
          <w:rFonts w:ascii="Times New Roman" w:hAnsi="Times New Roman" w:cs="Times New Roman"/>
          <w:b/>
          <w:i/>
          <w:color w:val="000000" w:themeColor="text1"/>
          <w:sz w:val="24"/>
          <w:szCs w:val="24"/>
        </w:rPr>
        <w:t xml:space="preserve"> Mariè</w:t>
      </w:r>
      <w:r>
        <w:rPr>
          <w:rFonts w:ascii="Times New Roman" w:hAnsi="Times New Roman" w:cs="Times New Roman"/>
          <w:b/>
          <w:i/>
          <w:color w:val="000000" w:themeColor="text1"/>
          <w:sz w:val="24"/>
          <w:szCs w:val="24"/>
        </w:rPr>
        <w:t xml:space="preserve">me SOW </w:t>
      </w:r>
      <w:r w:rsidRPr="00834D5F">
        <w:rPr>
          <w:rFonts w:ascii="Times New Roman" w:hAnsi="Times New Roman" w:cs="Times New Roman"/>
          <w:b/>
          <w:i/>
          <w:color w:val="000000" w:themeColor="text1"/>
          <w:sz w:val="24"/>
          <w:szCs w:val="24"/>
        </w:rPr>
        <w:t xml:space="preserve"> contre</w:t>
      </w:r>
      <w:r>
        <w:rPr>
          <w:rFonts w:ascii="Times New Roman" w:hAnsi="Times New Roman" w:cs="Times New Roman"/>
          <w:b/>
          <w:i/>
          <w:color w:val="000000" w:themeColor="text1"/>
          <w:sz w:val="24"/>
          <w:szCs w:val="24"/>
        </w:rPr>
        <w:t xml:space="preserve"> Cheikh Faye</w:t>
      </w:r>
      <w:r w:rsidRPr="00834D5F">
        <w:rPr>
          <w:rFonts w:ascii="Times New Roman" w:hAnsi="Times New Roman" w:cs="Times New Roman"/>
          <w:b/>
          <w:i/>
          <w:color w:val="000000" w:themeColor="text1"/>
          <w:sz w:val="24"/>
          <w:szCs w:val="24"/>
        </w:rPr>
        <w:t>, Arrêt de la</w:t>
      </w:r>
      <w:r>
        <w:rPr>
          <w:rFonts w:ascii="Times New Roman" w:hAnsi="Times New Roman" w:cs="Times New Roman"/>
          <w:b/>
          <w:i/>
          <w:color w:val="000000" w:themeColor="text1"/>
          <w:sz w:val="24"/>
          <w:szCs w:val="24"/>
        </w:rPr>
        <w:t xml:space="preserve"> Cour d’Appel de Dakar (</w:t>
      </w:r>
      <w:r w:rsidRPr="00834D5F">
        <w:rPr>
          <w:rFonts w:ascii="Times New Roman" w:hAnsi="Times New Roman" w:cs="Times New Roman"/>
          <w:b/>
          <w:i/>
          <w:color w:val="000000" w:themeColor="text1"/>
          <w:sz w:val="24"/>
          <w:szCs w:val="24"/>
        </w:rPr>
        <w:t>Chambre de</w:t>
      </w:r>
      <w:r>
        <w:rPr>
          <w:rFonts w:ascii="Times New Roman" w:hAnsi="Times New Roman" w:cs="Times New Roman"/>
          <w:b/>
          <w:i/>
          <w:color w:val="000000" w:themeColor="text1"/>
          <w:sz w:val="24"/>
          <w:szCs w:val="24"/>
        </w:rPr>
        <w:t>s</w:t>
      </w:r>
      <w:r w:rsidRPr="00834D5F">
        <w:rPr>
          <w:rFonts w:ascii="Times New Roman" w:hAnsi="Times New Roman" w:cs="Times New Roman"/>
          <w:b/>
          <w:i/>
          <w:color w:val="000000" w:themeColor="text1"/>
          <w:sz w:val="24"/>
          <w:szCs w:val="24"/>
        </w:rPr>
        <w:t xml:space="preserve"> </w:t>
      </w:r>
      <w:r>
        <w:rPr>
          <w:rFonts w:ascii="Times New Roman" w:hAnsi="Times New Roman" w:cs="Times New Roman"/>
          <w:b/>
          <w:i/>
          <w:color w:val="000000" w:themeColor="text1"/>
          <w:sz w:val="24"/>
          <w:szCs w:val="24"/>
        </w:rPr>
        <w:t>mineurs)</w:t>
      </w:r>
      <w:r w:rsidRPr="00834D5F">
        <w:rPr>
          <w:rFonts w:ascii="Times New Roman" w:hAnsi="Times New Roman" w:cs="Times New Roman"/>
          <w:b/>
          <w:i/>
          <w:color w:val="000000" w:themeColor="text1"/>
          <w:sz w:val="24"/>
          <w:szCs w:val="24"/>
        </w:rPr>
        <w:t xml:space="preserve"> N°</w:t>
      </w:r>
      <w:r>
        <w:rPr>
          <w:rFonts w:ascii="Times New Roman" w:hAnsi="Times New Roman" w:cs="Times New Roman"/>
          <w:b/>
          <w:i/>
          <w:color w:val="000000" w:themeColor="text1"/>
          <w:sz w:val="24"/>
          <w:szCs w:val="24"/>
        </w:rPr>
        <w:t xml:space="preserve">02 </w:t>
      </w:r>
      <w:r w:rsidRPr="00834D5F">
        <w:rPr>
          <w:rFonts w:ascii="Times New Roman" w:hAnsi="Times New Roman" w:cs="Times New Roman"/>
          <w:b/>
          <w:i/>
          <w:color w:val="000000" w:themeColor="text1"/>
          <w:sz w:val="24"/>
          <w:szCs w:val="24"/>
        </w:rPr>
        <w:t xml:space="preserve">du </w:t>
      </w:r>
      <w:r w:rsidR="00D55644">
        <w:rPr>
          <w:rFonts w:ascii="Times New Roman" w:hAnsi="Times New Roman" w:cs="Times New Roman"/>
          <w:b/>
          <w:i/>
          <w:color w:val="000000" w:themeColor="text1"/>
          <w:sz w:val="24"/>
          <w:szCs w:val="24"/>
        </w:rPr>
        <w:t xml:space="preserve">03 Mars </w:t>
      </w:r>
      <w:r>
        <w:rPr>
          <w:rFonts w:ascii="Times New Roman" w:hAnsi="Times New Roman" w:cs="Times New Roman"/>
          <w:b/>
          <w:i/>
          <w:color w:val="000000" w:themeColor="text1"/>
          <w:sz w:val="24"/>
          <w:szCs w:val="24"/>
        </w:rPr>
        <w:t>2013</w:t>
      </w:r>
      <w:r w:rsidRPr="00834D5F">
        <w:rPr>
          <w:rFonts w:ascii="Times New Roman" w:hAnsi="Times New Roman" w:cs="Times New Roman"/>
          <w:b/>
          <w:i/>
          <w:color w:val="000000" w:themeColor="text1"/>
          <w:sz w:val="24"/>
          <w:szCs w:val="24"/>
        </w:rPr>
        <w:t>.</w:t>
      </w:r>
    </w:p>
    <w:p w:rsidR="006A72FD" w:rsidRPr="006A72FD" w:rsidRDefault="006A72FD" w:rsidP="0098524B">
      <w:pPr>
        <w:pStyle w:val="Paragraphedeliste"/>
        <w:spacing w:line="360" w:lineRule="auto"/>
        <w:rPr>
          <w:rFonts w:ascii="Times New Roman" w:hAnsi="Times New Roman" w:cs="Times New Roman"/>
          <w:b/>
          <w:i/>
          <w:color w:val="000000" w:themeColor="text1"/>
          <w:sz w:val="24"/>
          <w:szCs w:val="24"/>
        </w:rPr>
      </w:pPr>
    </w:p>
    <w:p w:rsidR="004E6298" w:rsidRDefault="006A72FD" w:rsidP="0098524B">
      <w:pPr>
        <w:pStyle w:val="Paragraphedeliste"/>
        <w:numPr>
          <w:ilvl w:val="0"/>
          <w:numId w:val="1"/>
        </w:numPr>
        <w:spacing w:before="120" w:after="12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C’est également à bon droit qu’une Cour d’Appel a confirmé  une décision d’un Tribunal de Grande Instance statuant  pour Enfant qui a condamné un mineur âgé de plus de treize ans, coupable du délit de coups et blessures volontaires, à une peine d’emprisonnement d’un an ferme.</w:t>
      </w:r>
    </w:p>
    <w:p w:rsidR="00230974" w:rsidRPr="00230974" w:rsidRDefault="00230974" w:rsidP="0098524B">
      <w:pPr>
        <w:pStyle w:val="Paragraphedeliste"/>
        <w:spacing w:before="120" w:after="120" w:line="360" w:lineRule="auto"/>
        <w:ind w:left="360"/>
        <w:jc w:val="both"/>
        <w:rPr>
          <w:rFonts w:ascii="Times New Roman" w:hAnsi="Times New Roman" w:cs="Times New Roman"/>
          <w:i/>
          <w:sz w:val="24"/>
          <w:szCs w:val="24"/>
        </w:rPr>
      </w:pPr>
    </w:p>
    <w:p w:rsidR="00BC2CC9" w:rsidRPr="00983844" w:rsidRDefault="00BC2CC9" w:rsidP="0098524B">
      <w:pPr>
        <w:pStyle w:val="Paragraphedeliste"/>
        <w:numPr>
          <w:ilvl w:val="0"/>
          <w:numId w:val="1"/>
        </w:numPr>
        <w:spacing w:before="120" w:after="120" w:line="360" w:lineRule="auto"/>
        <w:jc w:val="both"/>
        <w:rPr>
          <w:rFonts w:ascii="Times New Roman" w:hAnsi="Times New Roman" w:cs="Times New Roman"/>
          <w:b/>
          <w:i/>
          <w:color w:val="000000" w:themeColor="text1"/>
          <w:sz w:val="24"/>
          <w:szCs w:val="24"/>
        </w:rPr>
      </w:pPr>
      <w:r w:rsidRPr="005841ED">
        <w:rPr>
          <w:rFonts w:ascii="Times New Roman" w:hAnsi="Times New Roman" w:cs="Times New Roman"/>
          <w:i/>
          <w:sz w:val="24"/>
          <w:szCs w:val="24"/>
        </w:rPr>
        <w:t xml:space="preserve">A </w:t>
      </w:r>
      <w:r>
        <w:rPr>
          <w:rFonts w:ascii="Times New Roman" w:hAnsi="Times New Roman" w:cs="Times New Roman"/>
          <w:i/>
          <w:sz w:val="24"/>
          <w:szCs w:val="24"/>
        </w:rPr>
        <w:t>fait une bonne application dudit article, une Cour d’Appel, qui a confirmé une décision d’un Tribunal de Grande Instance statuant  pour Enfant qui a condamné un mineur âgé de plus de treize ans, coupable du délit de pédophilie à une peine d’emprisonnement d’un an ferme, bien que l’ayant infirmé pour le délit de viol</w:t>
      </w:r>
      <w:r w:rsidR="008963DA">
        <w:rPr>
          <w:rFonts w:ascii="Times New Roman" w:hAnsi="Times New Roman" w:cs="Times New Roman"/>
          <w:i/>
          <w:sz w:val="24"/>
          <w:szCs w:val="24"/>
        </w:rPr>
        <w:t>,</w:t>
      </w:r>
      <w:r>
        <w:rPr>
          <w:rFonts w:ascii="Times New Roman" w:hAnsi="Times New Roman" w:cs="Times New Roman"/>
          <w:i/>
          <w:sz w:val="24"/>
          <w:szCs w:val="24"/>
        </w:rPr>
        <w:t xml:space="preserve"> non retenu par la Cour.</w:t>
      </w:r>
    </w:p>
    <w:p w:rsidR="00BC2CC9" w:rsidRPr="009F7336" w:rsidRDefault="00BC2CC9" w:rsidP="0098524B">
      <w:pPr>
        <w:pStyle w:val="Paragraphedeliste"/>
        <w:spacing w:before="120" w:after="120" w:line="360" w:lineRule="auto"/>
        <w:ind w:left="360"/>
        <w:jc w:val="both"/>
        <w:rPr>
          <w:rFonts w:ascii="Times New Roman" w:hAnsi="Times New Roman" w:cs="Times New Roman"/>
          <w:b/>
          <w:i/>
          <w:color w:val="000000" w:themeColor="text1"/>
          <w:sz w:val="24"/>
          <w:szCs w:val="24"/>
        </w:rPr>
      </w:pPr>
    </w:p>
    <w:p w:rsidR="00BC2CC9" w:rsidRPr="00CD0721" w:rsidRDefault="00BC2CC9" w:rsidP="009762AA">
      <w:pPr>
        <w:pStyle w:val="Titre1"/>
      </w:pPr>
      <w:bookmarkStart w:id="24" w:name="_Toc521059406"/>
      <w:r w:rsidRPr="004E57D6">
        <w:t>Cour d’Appel de Dakar</w:t>
      </w:r>
      <w:r>
        <w:t xml:space="preserve"> (chambre des mineurs)</w:t>
      </w:r>
      <w:r w:rsidRPr="004E57D6">
        <w:t xml:space="preserve">, arrêt n° </w:t>
      </w:r>
      <w:r>
        <w:t>01 du 15</w:t>
      </w:r>
      <w:r w:rsidRPr="004E57D6">
        <w:t>/</w:t>
      </w:r>
      <w:r>
        <w:t>06</w:t>
      </w:r>
      <w:r w:rsidRPr="004E57D6">
        <w:t>/201</w:t>
      </w:r>
      <w:r>
        <w:t>6</w:t>
      </w:r>
      <w:r w:rsidRPr="004E57D6">
        <w:t xml:space="preserve">,  Ministère Public </w:t>
      </w:r>
      <w:r>
        <w:t xml:space="preserve">et Khady DIAGNE es qualité de sa fille Sokhna DIENE </w:t>
      </w:r>
      <w:r w:rsidRPr="004E57D6">
        <w:t>contre</w:t>
      </w:r>
      <w:r>
        <w:t xml:space="preserve"> Moussa DIOP (Mansour NDIAYE, son civilement responsable)</w:t>
      </w:r>
      <w:r w:rsidRPr="004E57D6">
        <w:t>.</w:t>
      </w:r>
      <w:r w:rsidR="006271AE" w:rsidRPr="006271AE">
        <w:t xml:space="preserve"> </w:t>
      </w:r>
      <w:r w:rsidR="006271AE" w:rsidRPr="00BC7282">
        <w:t>(Inédit).</w:t>
      </w:r>
      <w:bookmarkEnd w:id="24"/>
    </w:p>
    <w:p w:rsidR="00983844" w:rsidRPr="009F721E" w:rsidRDefault="00983844" w:rsidP="0098524B">
      <w:pPr>
        <w:pStyle w:val="Paragraphedeliste"/>
        <w:numPr>
          <w:ilvl w:val="0"/>
          <w:numId w:val="1"/>
        </w:numPr>
        <w:spacing w:before="120" w:after="120" w:line="360" w:lineRule="auto"/>
        <w:jc w:val="both"/>
        <w:rPr>
          <w:rFonts w:ascii="Times New Roman" w:hAnsi="Times New Roman" w:cs="Times New Roman"/>
          <w:b/>
          <w:sz w:val="24"/>
          <w:szCs w:val="24"/>
        </w:rPr>
      </w:pPr>
      <w:r w:rsidRPr="001A09E0">
        <w:rPr>
          <w:rFonts w:ascii="Times New Roman" w:hAnsi="Times New Roman" w:cs="Times New Roman"/>
          <w:i/>
          <w:sz w:val="24"/>
          <w:szCs w:val="24"/>
        </w:rPr>
        <w:t xml:space="preserve">A fait une bonne application combinée des articles </w:t>
      </w:r>
      <w:r w:rsidR="00CD0721">
        <w:rPr>
          <w:rFonts w:ascii="Times New Roman" w:hAnsi="Times New Roman" w:cs="Times New Roman"/>
          <w:i/>
          <w:sz w:val="24"/>
          <w:szCs w:val="24"/>
        </w:rPr>
        <w:t xml:space="preserve">567 du code de procédure pénale, </w:t>
      </w:r>
      <w:r w:rsidRPr="001A09E0">
        <w:rPr>
          <w:rFonts w:ascii="Times New Roman" w:hAnsi="Times New Roman" w:cs="Times New Roman"/>
          <w:i/>
          <w:sz w:val="24"/>
          <w:szCs w:val="24"/>
        </w:rPr>
        <w:t xml:space="preserve">52 et 53 du code pénal, une Cour d’Appel, qui tout en confirmant une décision d’un Tribunal de Grande Instance statuant  pour Enfant qui </w:t>
      </w:r>
      <w:r w:rsidR="001A09E0" w:rsidRPr="001A09E0">
        <w:rPr>
          <w:rFonts w:ascii="Times New Roman" w:hAnsi="Times New Roman" w:cs="Times New Roman"/>
          <w:i/>
          <w:sz w:val="24"/>
          <w:szCs w:val="24"/>
        </w:rPr>
        <w:t xml:space="preserve">a déclaré coupable </w:t>
      </w:r>
      <w:r w:rsidRPr="001A09E0">
        <w:rPr>
          <w:rFonts w:ascii="Times New Roman" w:hAnsi="Times New Roman" w:cs="Times New Roman"/>
          <w:i/>
          <w:sz w:val="24"/>
          <w:szCs w:val="24"/>
        </w:rPr>
        <w:t>un mineur âgé de plus de treize ans</w:t>
      </w:r>
      <w:r w:rsidR="002C0A83">
        <w:rPr>
          <w:rFonts w:ascii="Times New Roman" w:hAnsi="Times New Roman" w:cs="Times New Roman"/>
          <w:i/>
          <w:sz w:val="24"/>
          <w:szCs w:val="24"/>
        </w:rPr>
        <w:t xml:space="preserve"> pour l</w:t>
      </w:r>
      <w:r w:rsidR="001A09E0">
        <w:rPr>
          <w:rFonts w:ascii="Times New Roman" w:hAnsi="Times New Roman" w:cs="Times New Roman"/>
          <w:i/>
          <w:sz w:val="24"/>
          <w:szCs w:val="24"/>
        </w:rPr>
        <w:t xml:space="preserve">es délits de détournement de mineur et de viol, l’a réformé quant à la mesure </w:t>
      </w:r>
      <w:r w:rsidR="009F721E">
        <w:rPr>
          <w:rFonts w:ascii="Times New Roman" w:hAnsi="Times New Roman" w:cs="Times New Roman"/>
          <w:i/>
          <w:sz w:val="24"/>
          <w:szCs w:val="24"/>
        </w:rPr>
        <w:t>qui le confie à son civilement responsable et le condamne à un an d’emprisonnement ferme.</w:t>
      </w:r>
    </w:p>
    <w:p w:rsidR="00B06842" w:rsidRPr="004E6298" w:rsidRDefault="009F721E" w:rsidP="009762AA">
      <w:pPr>
        <w:pStyle w:val="Titre1"/>
      </w:pPr>
      <w:bookmarkStart w:id="25" w:name="_Toc521059407"/>
      <w:r w:rsidRPr="009F721E">
        <w:t>Cour d’Appel de Dakar (chambre des mineurs), arrêt n° 01 du 28/02/2018,  Ministère Public et Aminata NGOM, représentée par sa mère Ndèye THIARE  contre Saer SAMB (Cheikh DIOP SAMB,</w:t>
      </w:r>
      <w:r w:rsidR="00BF5EBB">
        <w:t xml:space="preserve"> son </w:t>
      </w:r>
      <w:r w:rsidRPr="009F721E">
        <w:t xml:space="preserve"> civilement responsable)</w:t>
      </w:r>
      <w:r w:rsidR="006271AE" w:rsidRPr="006271AE">
        <w:t xml:space="preserve"> </w:t>
      </w:r>
      <w:r w:rsidR="006271AE" w:rsidRPr="00BC7282">
        <w:t>(Inédit).</w:t>
      </w:r>
      <w:bookmarkEnd w:id="25"/>
    </w:p>
    <w:p w:rsidR="006A1EBC" w:rsidRPr="00834D5F" w:rsidRDefault="006A1EBC" w:rsidP="0098524B">
      <w:pPr>
        <w:pStyle w:val="Paragraphedeliste"/>
        <w:numPr>
          <w:ilvl w:val="0"/>
          <w:numId w:val="4"/>
        </w:numPr>
        <w:spacing w:before="120" w:after="120" w:line="360"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A jugé, un Tribunal pour enfants qui, après avoir retenu la culpabilité</w:t>
      </w:r>
      <w:r w:rsidR="00E8642D">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d’un prévenu mineur, l’a confié sur le</w:t>
      </w:r>
      <w:r w:rsidR="00230974">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fondement des articles 567</w:t>
      </w:r>
      <w:r w:rsidR="00CD0721">
        <w:rPr>
          <w:rFonts w:ascii="Times New Roman" w:hAnsi="Times New Roman" w:cs="Times New Roman"/>
          <w:i/>
          <w:color w:val="000000" w:themeColor="text1"/>
          <w:sz w:val="24"/>
          <w:szCs w:val="24"/>
        </w:rPr>
        <w:t xml:space="preserve"> du code de procédure pénale </w:t>
      </w:r>
      <w:r w:rsidRPr="00834D5F">
        <w:rPr>
          <w:rFonts w:ascii="Times New Roman" w:hAnsi="Times New Roman" w:cs="Times New Roman"/>
          <w:i/>
          <w:color w:val="000000" w:themeColor="text1"/>
          <w:sz w:val="24"/>
          <w:szCs w:val="24"/>
        </w:rPr>
        <w:t xml:space="preserve"> et 52 du Code pénal à son civilement responsable.</w:t>
      </w:r>
    </w:p>
    <w:p w:rsidR="006A1EBC" w:rsidRPr="00AC1481" w:rsidRDefault="006A1EBC" w:rsidP="0098524B">
      <w:pPr>
        <w:autoSpaceDE w:val="0"/>
        <w:autoSpaceDN w:val="0"/>
        <w:adjustRightInd w:val="0"/>
        <w:spacing w:before="120" w:after="120" w:line="360" w:lineRule="auto"/>
        <w:jc w:val="both"/>
        <w:rPr>
          <w:rFonts w:ascii="Times New Roman" w:hAnsi="Times New Roman" w:cs="Times New Roman"/>
          <w:color w:val="000000" w:themeColor="text1"/>
          <w:sz w:val="2"/>
          <w:szCs w:val="24"/>
        </w:rPr>
      </w:pPr>
    </w:p>
    <w:p w:rsidR="006A1EBC" w:rsidRPr="00834D5F" w:rsidRDefault="006A1EBC" w:rsidP="009762AA">
      <w:pPr>
        <w:pStyle w:val="Titre1"/>
      </w:pPr>
      <w:bookmarkStart w:id="26" w:name="_Toc521059408"/>
      <w:r w:rsidRPr="00834D5F">
        <w:t>Ministère Public et Ababacar FALL contre Babacar KANE, Jugement N°06/2016 du 13 Janvier 2017 rendu par le TPE de Dakar (Inédit).</w:t>
      </w:r>
      <w:bookmarkEnd w:id="26"/>
      <w:r w:rsidRPr="00834D5F">
        <w:t xml:space="preserve"> </w:t>
      </w:r>
    </w:p>
    <w:p w:rsidR="006A1EBC" w:rsidRPr="00AC1481" w:rsidRDefault="006A1EBC" w:rsidP="0098524B">
      <w:pPr>
        <w:autoSpaceDE w:val="0"/>
        <w:autoSpaceDN w:val="0"/>
        <w:adjustRightInd w:val="0"/>
        <w:spacing w:before="120" w:after="120" w:line="360" w:lineRule="auto"/>
        <w:jc w:val="both"/>
        <w:rPr>
          <w:rFonts w:ascii="Times New Roman" w:hAnsi="Times New Roman" w:cs="Times New Roman"/>
          <w:color w:val="000000" w:themeColor="text1"/>
          <w:sz w:val="2"/>
          <w:szCs w:val="24"/>
        </w:rPr>
      </w:pPr>
    </w:p>
    <w:p w:rsidR="006A1EBC" w:rsidRPr="00834D5F" w:rsidRDefault="006A1EBC" w:rsidP="0098524B">
      <w:pPr>
        <w:pStyle w:val="Paragraphedeliste"/>
        <w:numPr>
          <w:ilvl w:val="0"/>
          <w:numId w:val="6"/>
        </w:num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A été jugé qu’eu égard à la gravité des faits et à la personnalité du délinquant, le tribunal pour enfants peut accorder l’excuse de minorité au prévenu après avoir retenu sa culpabilité en application de l’article 567 du Code de Procédure Pénale.</w:t>
      </w:r>
    </w:p>
    <w:p w:rsidR="006A1EBC" w:rsidRPr="00AC1481" w:rsidRDefault="006A1EBC" w:rsidP="009762AA">
      <w:pPr>
        <w:pStyle w:val="Titre1"/>
      </w:pPr>
    </w:p>
    <w:p w:rsidR="006A1EBC" w:rsidRPr="00834D5F" w:rsidRDefault="006A1EBC" w:rsidP="009762AA">
      <w:pPr>
        <w:pStyle w:val="Titre1"/>
      </w:pPr>
      <w:bookmarkStart w:id="27" w:name="_Toc521059409"/>
      <w:r w:rsidRPr="00834D5F">
        <w:t>Ministère Public contre Lamine BADJI, Jugement N°01/2017 du 11 Janvier 2017 rendu par le TPE de Ziguinchor (Inédit).</w:t>
      </w:r>
      <w:bookmarkEnd w:id="27"/>
      <w:r w:rsidRPr="00834D5F">
        <w:t xml:space="preserve"> </w:t>
      </w:r>
    </w:p>
    <w:p w:rsidR="006A1EBC" w:rsidRPr="00AC1481" w:rsidRDefault="006A1EBC" w:rsidP="0098524B">
      <w:pPr>
        <w:autoSpaceDE w:val="0"/>
        <w:autoSpaceDN w:val="0"/>
        <w:adjustRightInd w:val="0"/>
        <w:spacing w:before="120" w:after="120" w:line="360" w:lineRule="auto"/>
        <w:jc w:val="both"/>
        <w:rPr>
          <w:rFonts w:ascii="Times New Roman" w:hAnsi="Times New Roman" w:cs="Times New Roman"/>
          <w:color w:val="000000" w:themeColor="text1"/>
          <w:sz w:val="2"/>
          <w:szCs w:val="24"/>
        </w:rPr>
      </w:pPr>
    </w:p>
    <w:p w:rsidR="006A1EBC" w:rsidRPr="00834D5F" w:rsidRDefault="006A1EBC" w:rsidP="0098524B">
      <w:pPr>
        <w:spacing w:before="120" w:after="120" w:line="360" w:lineRule="auto"/>
        <w:jc w:val="both"/>
        <w:rPr>
          <w:rFonts w:ascii="Times New Roman" w:hAnsi="Times New Roman" w:cs="Times New Roman"/>
          <w:b/>
          <w:i/>
          <w:color w:val="000000" w:themeColor="text1"/>
          <w:sz w:val="24"/>
          <w:szCs w:val="24"/>
        </w:rPr>
      </w:pPr>
      <w:r w:rsidRPr="00834D5F">
        <w:rPr>
          <w:rFonts w:ascii="Times New Roman" w:hAnsi="Times New Roman" w:cs="Times New Roman"/>
          <w:color w:val="000000" w:themeColor="text1"/>
          <w:sz w:val="24"/>
          <w:szCs w:val="24"/>
        </w:rPr>
        <w:t>Cette même jurisprudence a été reprise dans l’affaire</w:t>
      </w:r>
      <w:r>
        <w:rPr>
          <w:rFonts w:ascii="Times New Roman" w:hAnsi="Times New Roman" w:cs="Times New Roman"/>
          <w:color w:val="000000" w:themeColor="text1"/>
          <w:sz w:val="24"/>
          <w:szCs w:val="24"/>
        </w:rPr>
        <w:t xml:space="preserve"> </w:t>
      </w:r>
      <w:r w:rsidRPr="00834D5F">
        <w:rPr>
          <w:rFonts w:ascii="Times New Roman" w:hAnsi="Times New Roman" w:cs="Times New Roman"/>
          <w:b/>
          <w:i/>
          <w:color w:val="000000" w:themeColor="text1"/>
          <w:sz w:val="24"/>
          <w:szCs w:val="24"/>
        </w:rPr>
        <w:t xml:space="preserve">Ministère Public et Alimatou DIEDHIOU contre Ansou SANE, Jugement N°242/2015 du 25 Novembre 2015 rendu par le TPE de Ziguinchor (Inédit). </w:t>
      </w:r>
    </w:p>
    <w:p w:rsidR="006A1EBC" w:rsidRPr="00AC1481" w:rsidRDefault="006A1EBC" w:rsidP="0098524B">
      <w:pPr>
        <w:autoSpaceDE w:val="0"/>
        <w:autoSpaceDN w:val="0"/>
        <w:adjustRightInd w:val="0"/>
        <w:spacing w:before="120" w:after="120" w:line="360" w:lineRule="auto"/>
        <w:jc w:val="both"/>
        <w:rPr>
          <w:rFonts w:ascii="Times New Roman" w:hAnsi="Times New Roman" w:cs="Times New Roman"/>
          <w:color w:val="000000" w:themeColor="text1"/>
          <w:sz w:val="2"/>
          <w:szCs w:val="24"/>
        </w:rPr>
      </w:pPr>
    </w:p>
    <w:p w:rsidR="006A1EBC" w:rsidRPr="00834D5F" w:rsidRDefault="006A1EBC" w:rsidP="0098524B">
      <w:pPr>
        <w:pStyle w:val="Paragraphedeliste"/>
        <w:numPr>
          <w:ilvl w:val="0"/>
          <w:numId w:val="6"/>
        </w:num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Confirme l’appel interjeté par un</w:t>
      </w:r>
      <w:r w:rsidR="00230974">
        <w:rPr>
          <w:rFonts w:ascii="Times New Roman" w:hAnsi="Times New Roman" w:cs="Times New Roman"/>
          <w:i/>
          <w:color w:val="000000" w:themeColor="text1"/>
          <w:sz w:val="24"/>
          <w:szCs w:val="24"/>
        </w:rPr>
        <w:t xml:space="preserve"> </w:t>
      </w:r>
      <w:r w:rsidRPr="00834D5F">
        <w:rPr>
          <w:rFonts w:ascii="Times New Roman" w:hAnsi="Times New Roman" w:cs="Times New Roman"/>
          <w:i/>
          <w:color w:val="000000" w:themeColor="text1"/>
          <w:sz w:val="24"/>
          <w:szCs w:val="24"/>
        </w:rPr>
        <w:t>civilement responsable, une Cour d’Appel qui a jugé que la peine comme la mesure éducative prononcées, sont compatibles et adaptées à la situation du prévenu mineur, en conséquence, c’est à bon droit que le tribunal pour enfants a fait application de l’article 567 du Code de Procédure Pénale.</w:t>
      </w:r>
    </w:p>
    <w:p w:rsidR="006A1EBC" w:rsidRPr="00AC1481" w:rsidRDefault="006A1EBC" w:rsidP="0098524B">
      <w:pPr>
        <w:autoSpaceDE w:val="0"/>
        <w:autoSpaceDN w:val="0"/>
        <w:adjustRightInd w:val="0"/>
        <w:spacing w:before="120" w:after="120" w:line="360" w:lineRule="auto"/>
        <w:jc w:val="both"/>
        <w:rPr>
          <w:rFonts w:ascii="Times New Roman" w:hAnsi="Times New Roman" w:cs="Times New Roman"/>
          <w:color w:val="000000" w:themeColor="text1"/>
          <w:sz w:val="2"/>
          <w:szCs w:val="24"/>
        </w:rPr>
      </w:pPr>
    </w:p>
    <w:p w:rsidR="006A1EBC" w:rsidRPr="00834D5F" w:rsidRDefault="006A1EBC" w:rsidP="009762AA">
      <w:pPr>
        <w:pStyle w:val="Titre1"/>
      </w:pPr>
      <w:bookmarkStart w:id="28" w:name="_Toc521059410"/>
      <w:r w:rsidRPr="00834D5F">
        <w:t>Ministère Public et Diouma NDOUR contre Moustapha NDONG, Arrêt de la Cour d’Appel de Dakar  N°12 du 17 Décembre 2014 (Inédit).</w:t>
      </w:r>
      <w:bookmarkEnd w:id="28"/>
      <w:r w:rsidRPr="00834D5F">
        <w:t xml:space="preserve"> </w:t>
      </w:r>
      <w:r w:rsidRPr="00834D5F">
        <w:tab/>
      </w:r>
    </w:p>
    <w:p w:rsidR="006A1EBC" w:rsidRDefault="006A1EBC" w:rsidP="0098524B">
      <w:pPr>
        <w:pStyle w:val="Paragraphedeliste"/>
        <w:numPr>
          <w:ilvl w:val="0"/>
          <w:numId w:val="9"/>
        </w:numPr>
        <w:spacing w:before="120" w:after="120" w:line="360" w:lineRule="auto"/>
        <w:jc w:val="both"/>
        <w:rPr>
          <w:rFonts w:ascii="Times New Roman" w:hAnsi="Times New Roman" w:cs="Times New Roman"/>
          <w:i/>
          <w:color w:val="000000" w:themeColor="text1"/>
          <w:sz w:val="24"/>
          <w:szCs w:val="24"/>
        </w:rPr>
      </w:pPr>
      <w:r w:rsidRPr="00834D5F">
        <w:rPr>
          <w:rFonts w:ascii="Times New Roman" w:hAnsi="Times New Roman" w:cs="Times New Roman"/>
          <w:i/>
          <w:color w:val="000000" w:themeColor="text1"/>
          <w:sz w:val="24"/>
          <w:szCs w:val="24"/>
        </w:rPr>
        <w:t>Infirme le jugement rendu par un Tribunal pour enfants, une Cour d’Appel qui a jugé que la peine de 05 ans d’emprisonnement ferme à laquelle le prévenu mineur est condamné ne cadre pas avec l’ampleur du préjudice causé et la personnalité dudit mineur conformément à l’article 567 du CPP.</w:t>
      </w:r>
    </w:p>
    <w:p w:rsidR="006A1EBC" w:rsidRPr="00AC1481" w:rsidRDefault="006A1EBC" w:rsidP="0098524B">
      <w:pPr>
        <w:autoSpaceDE w:val="0"/>
        <w:autoSpaceDN w:val="0"/>
        <w:adjustRightInd w:val="0"/>
        <w:spacing w:before="120" w:after="120" w:line="360" w:lineRule="auto"/>
        <w:jc w:val="both"/>
        <w:rPr>
          <w:rFonts w:ascii="Times New Roman" w:hAnsi="Times New Roman" w:cs="Times New Roman"/>
          <w:color w:val="000000" w:themeColor="text1"/>
          <w:sz w:val="2"/>
          <w:szCs w:val="24"/>
        </w:rPr>
      </w:pPr>
    </w:p>
    <w:p w:rsidR="006A1EBC" w:rsidRDefault="006A1EBC" w:rsidP="009762AA">
      <w:pPr>
        <w:pStyle w:val="Titre1"/>
      </w:pPr>
      <w:bookmarkStart w:id="29" w:name="_Toc521059411"/>
      <w:r w:rsidRPr="00834D5F">
        <w:t>Ministère Public contre Bakary DIONE, Arrêt de la Cour d’Appel de Dakar  N°839 du 29 Novembre 2001 (Inédit).</w:t>
      </w:r>
      <w:bookmarkEnd w:id="29"/>
    </w:p>
    <w:p w:rsidR="006A1EBC" w:rsidRPr="00AC1481" w:rsidRDefault="006A1EBC" w:rsidP="0098524B">
      <w:pPr>
        <w:autoSpaceDE w:val="0"/>
        <w:autoSpaceDN w:val="0"/>
        <w:adjustRightInd w:val="0"/>
        <w:spacing w:before="120" w:after="120" w:line="360" w:lineRule="auto"/>
        <w:jc w:val="both"/>
        <w:rPr>
          <w:rFonts w:ascii="Times New Roman" w:hAnsi="Times New Roman" w:cs="Times New Roman"/>
          <w:color w:val="000000" w:themeColor="text1"/>
          <w:sz w:val="2"/>
          <w:szCs w:val="24"/>
        </w:rPr>
      </w:pPr>
    </w:p>
    <w:p w:rsidR="006A1EBC" w:rsidRPr="008F0A0A" w:rsidRDefault="006A1EBC" w:rsidP="008F0A0A">
      <w:pPr>
        <w:autoSpaceDE w:val="0"/>
        <w:autoSpaceDN w:val="0"/>
        <w:adjustRightInd w:val="0"/>
        <w:spacing w:before="120" w:after="120" w:line="360" w:lineRule="auto"/>
        <w:jc w:val="both"/>
        <w:rPr>
          <w:rFonts w:ascii="Times New Roman" w:hAnsi="Times New Roman" w:cs="Times New Roman"/>
          <w:b/>
          <w:i/>
          <w:color w:val="000000" w:themeColor="text1"/>
          <w:sz w:val="24"/>
          <w:szCs w:val="24"/>
          <w:u w:val="single"/>
        </w:rPr>
      </w:pPr>
      <w:r w:rsidRPr="008F0A0A">
        <w:rPr>
          <w:rFonts w:ascii="Times New Roman" w:hAnsi="Times New Roman" w:cs="Times New Roman"/>
          <w:b/>
          <w:i/>
          <w:color w:val="000000" w:themeColor="text1"/>
          <w:sz w:val="24"/>
          <w:szCs w:val="24"/>
          <w:u w:val="single"/>
        </w:rPr>
        <w:t xml:space="preserve">DOCTRINE </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Cf. l’article intitulé « Juger les mineurs en conflit avec la loi : Enjeux et Défis? », Samba NDIAYE, Président du Tribunal pour enfant de Thiès.</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b/>
          <w:i/>
          <w:color w:val="000000" w:themeColor="text1"/>
          <w:sz w:val="24"/>
          <w:szCs w:val="24"/>
        </w:rPr>
        <w:t>La primauté de l’éducation sur la répression</w:t>
      </w:r>
      <w:r w:rsidRPr="00D044FD">
        <w:rPr>
          <w:rFonts w:ascii="Times New Roman" w:hAnsi="Times New Roman" w:cs="Times New Roman"/>
          <w:i/>
          <w:color w:val="000000" w:themeColor="text1"/>
          <w:sz w:val="24"/>
          <w:szCs w:val="24"/>
        </w:rPr>
        <w:t>.</w:t>
      </w:r>
    </w:p>
    <w:p w:rsidR="006A1EBC" w:rsidRPr="008F0A0A" w:rsidRDefault="006A1EBC" w:rsidP="0098524B">
      <w:pPr>
        <w:spacing w:before="120" w:after="120" w:line="360" w:lineRule="auto"/>
        <w:jc w:val="both"/>
        <w:rPr>
          <w:rFonts w:ascii="Times New Roman" w:hAnsi="Times New Roman" w:cs="Times New Roman"/>
          <w:color w:val="000000" w:themeColor="text1"/>
          <w:sz w:val="24"/>
          <w:szCs w:val="24"/>
        </w:rPr>
      </w:pPr>
      <w:r w:rsidRPr="00D044FD">
        <w:rPr>
          <w:rFonts w:ascii="Times New Roman" w:hAnsi="Times New Roman" w:cs="Times New Roman"/>
          <w:b/>
          <w:i/>
          <w:color w:val="000000" w:themeColor="text1"/>
          <w:sz w:val="24"/>
          <w:szCs w:val="24"/>
        </w:rPr>
        <w:t>Le principe : l’interdiction de priver l’enfant de liberté ;</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xml:space="preserve">La liberté est si précieuse qu’on ne doit la priver à une personne à fortiori à un être aussi fragile et vulnérable que l’enfant. La fragilité de l’enfant a amené le législateur à travers les articles 52, 53 du code pénal, 567 code de procédure pénale à poser le principe qu’un mineur de moins de 13 ans ne peut faire l’objet d’une condamnation pénale. Nous comprenons </w:t>
      </w:r>
      <w:r w:rsidRPr="00D044FD">
        <w:rPr>
          <w:rFonts w:ascii="Times New Roman" w:hAnsi="Times New Roman" w:cs="Times New Roman"/>
          <w:i/>
          <w:color w:val="000000" w:themeColor="text1"/>
          <w:sz w:val="24"/>
          <w:szCs w:val="24"/>
        </w:rPr>
        <w:lastRenderedPageBreak/>
        <w:t>aisément pourquoi, le parquet  des mineurs de Thiès ne décernait pas mandat de dépôt contre un mineur de cet âge d’autant l’article 576 pose comme condition à la délivrance d’un mandat du mandat de dépôt contre un tel mineur une prévention de crime  et la motivation de la décision le plaçant sous mandat de dépôt.</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b/>
          <w:i/>
          <w:color w:val="000000" w:themeColor="text1"/>
          <w:sz w:val="24"/>
          <w:szCs w:val="24"/>
        </w:rPr>
        <w:t>Cas</w:t>
      </w:r>
      <w:r w:rsidRPr="00D044FD">
        <w:rPr>
          <w:rFonts w:ascii="Times New Roman" w:hAnsi="Times New Roman" w:cs="Times New Roman"/>
          <w:i/>
          <w:color w:val="000000" w:themeColor="text1"/>
          <w:sz w:val="24"/>
          <w:szCs w:val="24"/>
        </w:rPr>
        <w:t> : un groupe de jeunes garçons de Séwékhaye (commune de Khombole), âgés entre 10</w:t>
      </w:r>
      <w:r w:rsidR="00610EEA" w:rsidRPr="00D044FD">
        <w:rPr>
          <w:rFonts w:ascii="Times New Roman" w:hAnsi="Times New Roman" w:cs="Times New Roman"/>
          <w:i/>
          <w:color w:val="000000" w:themeColor="text1"/>
          <w:sz w:val="24"/>
          <w:szCs w:val="24"/>
        </w:rPr>
        <w:t xml:space="preserve"> </w:t>
      </w:r>
      <w:r w:rsidRPr="00D044FD">
        <w:rPr>
          <w:rFonts w:ascii="Times New Roman" w:hAnsi="Times New Roman" w:cs="Times New Roman"/>
          <w:i/>
          <w:color w:val="000000" w:themeColor="text1"/>
          <w:sz w:val="24"/>
          <w:szCs w:val="24"/>
        </w:rPr>
        <w:t>et 13 ans se sont relayés sur une jeune fille de 12 ans en la violant à tour de rôle. Ils ont été poursuivis pour viol collectif et complicité de viol. Ont comparu libres à l’audience, donc n’ont pas été placés sous mandat de dépôt du fait de leur âge ; le juge a certes reconnu leur culpabilité, mais n’a pas prononcé de peine de prison, préférant les placer chacun sous le régime de la liberté surveillée après de vives admonestation et réprimande.</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b/>
          <w:i/>
          <w:color w:val="000000" w:themeColor="text1"/>
          <w:sz w:val="24"/>
          <w:szCs w:val="24"/>
        </w:rPr>
        <w:t>L’exception : la privation de liberté peut être décidée ;</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Elle se matérialise soit par le prononcé d’une peine d’emprisonnement soit par le placement dans un établissement public ou privé.</w:t>
      </w:r>
    </w:p>
    <w:p w:rsidR="006A1EBC" w:rsidRPr="00D044FD" w:rsidRDefault="006A1EBC" w:rsidP="0098524B">
      <w:pPr>
        <w:spacing w:before="120" w:after="120" w:line="360" w:lineRule="auto"/>
        <w:jc w:val="both"/>
        <w:rPr>
          <w:rFonts w:ascii="Times New Roman" w:hAnsi="Times New Roman" w:cs="Times New Roman"/>
          <w:b/>
          <w:i/>
          <w:color w:val="000000" w:themeColor="text1"/>
          <w:sz w:val="24"/>
          <w:szCs w:val="24"/>
        </w:rPr>
      </w:pPr>
      <w:r w:rsidRPr="00D044FD">
        <w:rPr>
          <w:rFonts w:ascii="Times New Roman" w:hAnsi="Times New Roman" w:cs="Times New Roman"/>
          <w:b/>
          <w:i/>
          <w:color w:val="000000" w:themeColor="text1"/>
          <w:sz w:val="24"/>
          <w:szCs w:val="24"/>
        </w:rPr>
        <w:t>L’emprisonnement :</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Le Tribunal</w:t>
      </w:r>
      <w:r w:rsidRPr="00D044FD">
        <w:rPr>
          <w:rFonts w:ascii="Times New Roman" w:hAnsi="Times New Roman" w:cs="Times New Roman"/>
          <w:b/>
          <w:i/>
          <w:color w:val="000000" w:themeColor="text1"/>
          <w:sz w:val="24"/>
          <w:szCs w:val="24"/>
        </w:rPr>
        <w:t xml:space="preserve"> </w:t>
      </w:r>
      <w:r w:rsidRPr="00D044FD">
        <w:rPr>
          <w:rFonts w:ascii="Times New Roman" w:hAnsi="Times New Roman" w:cs="Times New Roman"/>
          <w:i/>
          <w:color w:val="000000" w:themeColor="text1"/>
          <w:sz w:val="24"/>
          <w:szCs w:val="24"/>
        </w:rPr>
        <w:t>pour Enfants peut, lorsque les circonstances et la personnalité du mineur lui paraissent l’exiger, prononcer à l’égard du mineur âgé de plus de 13 ans une condamnation pénale conformément aux dispositions des articles 52, 53 du code pénal, 567 et suivants code de procédure pénale. Ces dispositions consacrent l’excuse de minorité qui doit être prise en compte au moment du prononcé d’une peine d’incarcération.</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b/>
          <w:i/>
          <w:color w:val="000000" w:themeColor="text1"/>
          <w:sz w:val="24"/>
          <w:szCs w:val="24"/>
        </w:rPr>
        <w:t xml:space="preserve">La peine d’incarcération est parfois ordonnée à la suite d’une condamnation pénale. </w:t>
      </w:r>
      <w:r w:rsidRPr="00D044FD">
        <w:rPr>
          <w:rFonts w:ascii="Times New Roman" w:hAnsi="Times New Roman" w:cs="Times New Roman"/>
          <w:i/>
          <w:color w:val="000000" w:themeColor="text1"/>
          <w:sz w:val="24"/>
          <w:szCs w:val="24"/>
        </w:rPr>
        <w:t>L’emprisonnement est alors prononcé lorsque tout a échoué et parfois après que les décisions judicaires successives de sursis ont laissé croire, pendant des mois voire des années qu’il n’y avait pas de «  vraie » sanction.</w:t>
      </w:r>
      <w:r w:rsidR="00610EEA" w:rsidRPr="00D044FD">
        <w:rPr>
          <w:rFonts w:ascii="Times New Roman" w:hAnsi="Times New Roman" w:cs="Times New Roman"/>
          <w:i/>
          <w:color w:val="000000" w:themeColor="text1"/>
          <w:sz w:val="24"/>
          <w:szCs w:val="24"/>
        </w:rPr>
        <w:t xml:space="preserve"> </w:t>
      </w:r>
      <w:r w:rsidRPr="00D044FD">
        <w:rPr>
          <w:rFonts w:ascii="Times New Roman" w:hAnsi="Times New Roman" w:cs="Times New Roman"/>
          <w:i/>
          <w:color w:val="000000" w:themeColor="text1"/>
          <w:sz w:val="24"/>
          <w:szCs w:val="24"/>
        </w:rPr>
        <w:t>Pour le juge des mineurs, le personnel pénitentiaire, les éducateurs en charge des mineurs, l’emprisonnement apparait comme l’ultime recours face à la violence, il est vécu comme un échec de la prévention et du travail éducatif. L’incarcération du mineur n’est pas toujours une bonne idée, un jeune mis en prison ne s’en trouve pas mieux sinon rarement à sa sortie.</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xml:space="preserve">Deux chercheurs américains qui se sont intéressés au cas de jeunes comparaissant devant un Tribunal de Chicago ont fait remarquer à ce sujet que « les enfants qui se retrouvaient  incarcérés avaient 13% de chance de moins d’obtenir leur bac et 22% de plus de refaire la </w:t>
      </w:r>
      <w:r w:rsidRPr="00D044FD">
        <w:rPr>
          <w:rFonts w:ascii="Times New Roman" w:hAnsi="Times New Roman" w:cs="Times New Roman"/>
          <w:i/>
          <w:color w:val="000000" w:themeColor="text1"/>
          <w:sz w:val="24"/>
          <w:szCs w:val="24"/>
        </w:rPr>
        <w:lastRenderedPageBreak/>
        <w:t>prison une fois adulte que les enfants qui étaient passés devant le juge mais avaient par exemple été placés sous liberté surveillée.. »</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b/>
          <w:i/>
          <w:color w:val="000000" w:themeColor="text1"/>
          <w:sz w:val="24"/>
          <w:szCs w:val="24"/>
        </w:rPr>
        <w:t>Cas d’I.D, plusieurs</w:t>
      </w:r>
      <w:r w:rsidRPr="00D044FD">
        <w:rPr>
          <w:rFonts w:ascii="Times New Roman" w:hAnsi="Times New Roman" w:cs="Times New Roman"/>
          <w:i/>
          <w:color w:val="000000" w:themeColor="text1"/>
          <w:sz w:val="24"/>
          <w:szCs w:val="24"/>
        </w:rPr>
        <w:t xml:space="preserve"> fois auteurs de vols était en passe de faire de la prison son véritable domicile. Issu de parents divorcés, sa maman s’est remariée à un homme qui ne l’accepte, son père a démissionné, l’enfant est laissé à lui-même. Pour manger ou se payer des habits, il n’a d’autres moyens que de s’adonner au vol. La prison est devenue son lieu d’asile dit-il contre les délinquants majeurs qui l’entrainent. Lors de son dernier séjour carcéral, il a fait l’objet d’un placement au foyer de l’association  pour le « sourire d’un Enfant ».</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b/>
          <w:i/>
          <w:color w:val="000000" w:themeColor="text1"/>
          <w:sz w:val="24"/>
          <w:szCs w:val="24"/>
        </w:rPr>
        <w:t xml:space="preserve">Cas de M.D </w:t>
      </w:r>
      <w:r w:rsidRPr="00D044FD">
        <w:rPr>
          <w:rFonts w:ascii="Times New Roman" w:hAnsi="Times New Roman" w:cs="Times New Roman"/>
          <w:i/>
          <w:color w:val="000000" w:themeColor="text1"/>
          <w:sz w:val="24"/>
          <w:szCs w:val="24"/>
        </w:rPr>
        <w:t xml:space="preserve">la situation de M.D est sensiblement identique à celle de I.D. ses parents, un couple démarié, une maman aux moyens très limités, la seule qui s’occupe de l’enfant, son éducation ayant  lamentablement échoué. Il use de drogue en compagnie d’adultes et commet fréquemment des vols en temps de nuit .Actuellement il est détention à la MAC de Thiès en attente d’un nouveau jugement après avoir été plusieurs fois placés sous le régime de liberté surveillée. (S. NDIAYE, extrait de sa communication intitulée Juger les mineurs en conflit avec la loi : Enjeux et </w:t>
      </w:r>
      <w:r w:rsidR="008963DA" w:rsidRPr="00D044FD">
        <w:rPr>
          <w:rFonts w:ascii="Times New Roman" w:hAnsi="Times New Roman" w:cs="Times New Roman"/>
          <w:i/>
          <w:color w:val="000000" w:themeColor="text1"/>
          <w:sz w:val="24"/>
          <w:szCs w:val="24"/>
        </w:rPr>
        <w:t>Défis?, Colloque</w:t>
      </w:r>
      <w:r w:rsidRPr="00D044FD">
        <w:rPr>
          <w:rFonts w:ascii="Times New Roman" w:hAnsi="Times New Roman" w:cs="Times New Roman"/>
          <w:i/>
          <w:color w:val="000000" w:themeColor="text1"/>
          <w:sz w:val="24"/>
          <w:szCs w:val="24"/>
        </w:rPr>
        <w:t xml:space="preserve"> du 27 Novembre 2015)</w:t>
      </w:r>
    </w:p>
    <w:p w:rsidR="006A1EBC" w:rsidRPr="00D044FD" w:rsidRDefault="006A1EBC" w:rsidP="0098524B">
      <w:pPr>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Cf.</w:t>
      </w:r>
      <w:r w:rsidR="00B4553B" w:rsidRPr="00D044FD">
        <w:rPr>
          <w:rFonts w:ascii="Times New Roman" w:hAnsi="Times New Roman" w:cs="Times New Roman"/>
          <w:i/>
          <w:color w:val="000000" w:themeColor="text1"/>
          <w:sz w:val="24"/>
          <w:szCs w:val="24"/>
        </w:rPr>
        <w:t xml:space="preserve"> </w:t>
      </w:r>
      <w:r w:rsidRPr="00D044FD">
        <w:rPr>
          <w:rFonts w:ascii="Times New Roman" w:hAnsi="Times New Roman" w:cs="Times New Roman"/>
          <w:i/>
          <w:color w:val="000000" w:themeColor="text1"/>
          <w:sz w:val="24"/>
          <w:szCs w:val="24"/>
        </w:rPr>
        <w:t>Bara GUEYE, « Droit Pénitentiaire sénégalais », EDJA, 2015.</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
          <w:szCs w:val="24"/>
        </w:rPr>
      </w:pPr>
    </w:p>
    <w:p w:rsidR="006A1EBC" w:rsidRPr="00D044FD" w:rsidRDefault="006A1EBC" w:rsidP="009762AA">
      <w:pPr>
        <w:pStyle w:val="Titre1"/>
      </w:pPr>
      <w:bookmarkStart w:id="30" w:name="_Toc521059412"/>
      <w:r w:rsidRPr="00D044FD">
        <w:t>La « priorité » des mesures de protection, d’assistance, de surveillance  et d’éducation</w:t>
      </w:r>
      <w:bookmarkEnd w:id="30"/>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Les mesures édictées exclusivement en faveur des mineurs sont mises en œuvre par des services spécialisés.</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
          <w:szCs w:val="24"/>
        </w:rPr>
      </w:pPr>
    </w:p>
    <w:p w:rsidR="006A1EBC" w:rsidRPr="00D044FD" w:rsidRDefault="006A1EBC" w:rsidP="0098524B">
      <w:pPr>
        <w:pStyle w:val="Paragraphedeliste"/>
        <w:numPr>
          <w:ilvl w:val="0"/>
          <w:numId w:val="8"/>
        </w:numPr>
        <w:autoSpaceDE w:val="0"/>
        <w:autoSpaceDN w:val="0"/>
        <w:adjustRightInd w:val="0"/>
        <w:spacing w:before="120" w:after="120" w:line="360" w:lineRule="auto"/>
        <w:jc w:val="both"/>
        <w:rPr>
          <w:rFonts w:ascii="Times New Roman" w:hAnsi="Times New Roman" w:cs="Times New Roman"/>
          <w:b/>
          <w:i/>
          <w:color w:val="000000" w:themeColor="text1"/>
          <w:sz w:val="24"/>
          <w:szCs w:val="24"/>
        </w:rPr>
      </w:pPr>
      <w:r w:rsidRPr="00D044FD">
        <w:rPr>
          <w:rFonts w:ascii="Times New Roman" w:hAnsi="Times New Roman" w:cs="Times New Roman"/>
          <w:b/>
          <w:i/>
          <w:color w:val="000000" w:themeColor="text1"/>
          <w:sz w:val="24"/>
          <w:szCs w:val="24"/>
        </w:rPr>
        <w:t xml:space="preserve">Les différentes mesures </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Dans le sillage de la vénérabl</w:t>
      </w:r>
      <w:r w:rsidR="00B4553B" w:rsidRPr="00D044FD">
        <w:rPr>
          <w:rFonts w:ascii="Times New Roman" w:hAnsi="Times New Roman" w:cs="Times New Roman"/>
          <w:i/>
          <w:color w:val="000000" w:themeColor="text1"/>
          <w:sz w:val="24"/>
          <w:szCs w:val="24"/>
        </w:rPr>
        <w:t>e ordonnance française de 1945</w:t>
      </w:r>
      <w:r w:rsidRPr="00D044FD">
        <w:rPr>
          <w:rFonts w:ascii="Times New Roman" w:hAnsi="Times New Roman" w:cs="Times New Roman"/>
          <w:i/>
          <w:color w:val="000000" w:themeColor="text1"/>
          <w:sz w:val="24"/>
          <w:szCs w:val="24"/>
        </w:rPr>
        <w:t>, l’article 567 du CPP de 1965 consacre la règle consistant, d’une part, à prononcer contre les mineurs délinquants des mesures qui leur évitent les effets corrupteurs de l’emprisonnement et, d’autre part, à favoriser leur épanouissement psychologique et éducatif.</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Le tribunal pour enfant dispose d’une grande liberté dans le choix de ces mesures destinées à protéger, assister, surveiller et éduquer le mineur, en distinguant selon qu’il a moins ou plus de 13 ans.</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Le mineur de moins de 13 ans ne peut faire l’objet d’aucune condamnation pénale. L’âge de 13 ans révolus est requis.</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lastRenderedPageBreak/>
        <w:t xml:space="preserve">Le Code Pénal fixe ainsi un âge minimal en deçà duquel les enfants sont présumés ne pas avoir la capacité d’enfreindre la loi pénale, pour reprendre l’article 17.4 de la Charte africaine des Droits et du Bien-être de l’enfant. </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En matière contraventionnelle, le mineur ne peut faire l’objet que d’une admonestation. Dans les autres matières, le tribunal pour enfants prononce par décision motivée l’une des mesures suivantes :</w:t>
      </w:r>
    </w:p>
    <w:p w:rsidR="006A1EBC" w:rsidRPr="00D044FD" w:rsidRDefault="006A1EBC" w:rsidP="0098524B">
      <w:pPr>
        <w:autoSpaceDE w:val="0"/>
        <w:autoSpaceDN w:val="0"/>
        <w:adjustRightInd w:val="0"/>
        <w:spacing w:before="120" w:after="120" w:line="360" w:lineRule="auto"/>
        <w:ind w:left="284"/>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Remise à ses parents, à son tuteur ou à la personne qui en avait la garde ainsi qu’à une personne digne de confiance;</w:t>
      </w:r>
    </w:p>
    <w:p w:rsidR="006A1EBC" w:rsidRPr="00D044FD" w:rsidRDefault="006A1EBC" w:rsidP="0098524B">
      <w:pPr>
        <w:autoSpaceDE w:val="0"/>
        <w:autoSpaceDN w:val="0"/>
        <w:adjustRightInd w:val="0"/>
        <w:spacing w:before="120" w:after="120" w:line="360" w:lineRule="auto"/>
        <w:ind w:left="284"/>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Placement dans une institution ou un établissement public ou privé</w:t>
      </w:r>
      <w:r w:rsidR="00B4553B" w:rsidRPr="00D044FD">
        <w:rPr>
          <w:rFonts w:ascii="Times New Roman" w:hAnsi="Times New Roman" w:cs="Times New Roman"/>
          <w:i/>
          <w:color w:val="000000" w:themeColor="text1"/>
          <w:sz w:val="24"/>
          <w:szCs w:val="24"/>
        </w:rPr>
        <w:t xml:space="preserve"> </w:t>
      </w:r>
      <w:r w:rsidRPr="00D044FD">
        <w:rPr>
          <w:rFonts w:ascii="Times New Roman" w:hAnsi="Times New Roman" w:cs="Times New Roman"/>
          <w:i/>
          <w:color w:val="000000" w:themeColor="text1"/>
          <w:sz w:val="24"/>
          <w:szCs w:val="24"/>
        </w:rPr>
        <w:t>d’éducation ou de formation ;</w:t>
      </w:r>
    </w:p>
    <w:p w:rsidR="006A1EBC" w:rsidRPr="00D044FD" w:rsidRDefault="006A1EBC" w:rsidP="0098524B">
      <w:pPr>
        <w:autoSpaceDE w:val="0"/>
        <w:autoSpaceDN w:val="0"/>
        <w:adjustRightInd w:val="0"/>
        <w:spacing w:before="120" w:after="120" w:line="360" w:lineRule="auto"/>
        <w:ind w:left="284"/>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Placement dans un établissement médical ou médicopédagogique habilité ;</w:t>
      </w:r>
    </w:p>
    <w:p w:rsidR="006A1EBC" w:rsidRPr="00D044FD" w:rsidRDefault="006A1EBC" w:rsidP="0098524B">
      <w:pPr>
        <w:autoSpaceDE w:val="0"/>
        <w:autoSpaceDN w:val="0"/>
        <w:adjustRightInd w:val="0"/>
        <w:spacing w:before="120" w:after="120" w:line="360" w:lineRule="auto"/>
        <w:ind w:left="284"/>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Placement dans un internat approprié aux mineu</w:t>
      </w:r>
      <w:r w:rsidR="00B4553B" w:rsidRPr="00D044FD">
        <w:rPr>
          <w:rFonts w:ascii="Times New Roman" w:hAnsi="Times New Roman" w:cs="Times New Roman"/>
          <w:i/>
          <w:color w:val="000000" w:themeColor="text1"/>
          <w:sz w:val="24"/>
          <w:szCs w:val="24"/>
        </w:rPr>
        <w:t>rs délinquant en âge de scolarisation</w:t>
      </w:r>
      <w:r w:rsidRPr="00D044FD">
        <w:rPr>
          <w:rFonts w:ascii="Times New Roman" w:hAnsi="Times New Roman" w:cs="Times New Roman"/>
          <w:i/>
          <w:color w:val="000000" w:themeColor="text1"/>
          <w:sz w:val="24"/>
          <w:szCs w:val="24"/>
        </w:rPr>
        <w:t> ;</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Ces mesures peuvent suivre le mineur jusqu’à 18 ans mais ne peuvent aller au-delà de sa 21</w:t>
      </w:r>
      <w:r w:rsidRPr="00D044FD">
        <w:rPr>
          <w:rFonts w:ascii="Times New Roman" w:hAnsi="Times New Roman" w:cs="Times New Roman"/>
          <w:i/>
          <w:color w:val="000000" w:themeColor="text1"/>
          <w:sz w:val="24"/>
          <w:szCs w:val="24"/>
          <w:vertAlign w:val="superscript"/>
        </w:rPr>
        <w:t>ème</w:t>
      </w:r>
      <w:r w:rsidRPr="00D044FD">
        <w:rPr>
          <w:rFonts w:ascii="Times New Roman" w:hAnsi="Times New Roman" w:cs="Times New Roman"/>
          <w:i/>
          <w:color w:val="000000" w:themeColor="text1"/>
          <w:sz w:val="24"/>
          <w:szCs w:val="24"/>
        </w:rPr>
        <w:t xml:space="preserve"> année.</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Si le mineur est âgé de plus de 13 ans, le tribunal peut prendre l’une des mêmes mesures que pour le mineur de moins 13 ans, à l’exception du placement dans un internat approprié aux mineurs d’âge scolaire, remplacé par le placement dans une institution publique d’éducation surveillée ou d’éducation corrective.</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Dans ce cas, aussi les mesures peuvent survivre à la majorité mais doivent s’arrêter à la 21</w:t>
      </w:r>
      <w:r w:rsidRPr="00D044FD">
        <w:rPr>
          <w:rFonts w:ascii="Times New Roman" w:hAnsi="Times New Roman" w:cs="Times New Roman"/>
          <w:i/>
          <w:color w:val="000000" w:themeColor="text1"/>
          <w:sz w:val="24"/>
          <w:szCs w:val="24"/>
          <w:vertAlign w:val="superscript"/>
        </w:rPr>
        <w:t>ème</w:t>
      </w:r>
      <w:r w:rsidRPr="00D044FD">
        <w:rPr>
          <w:rFonts w:ascii="Times New Roman" w:hAnsi="Times New Roman" w:cs="Times New Roman"/>
          <w:i/>
          <w:color w:val="000000" w:themeColor="text1"/>
          <w:sz w:val="24"/>
          <w:szCs w:val="24"/>
        </w:rPr>
        <w:t xml:space="preserve"> année.</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L’objectif essentiel de ces mesures est de permettre au mineur de jouir de son droit à l’éducation. Ce droit à l’éducation a été simplement esquissé par les textes constitutionnels de 1959, 1960 et 1963 par une disposition qui mettait à la charge de l’Etat et des collectivités locales l’obligation de créer les conditions préalables et les institutions publiques qui garantissent l’éducation des enfants.</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Ces lois étaient en retrait par rapport,</w:t>
      </w:r>
      <w:r w:rsidR="00B4553B" w:rsidRPr="00D044FD">
        <w:rPr>
          <w:rFonts w:ascii="Times New Roman" w:hAnsi="Times New Roman" w:cs="Times New Roman"/>
          <w:i/>
          <w:color w:val="000000" w:themeColor="text1"/>
          <w:sz w:val="24"/>
          <w:szCs w:val="24"/>
        </w:rPr>
        <w:t xml:space="preserve"> </w:t>
      </w:r>
      <w:r w:rsidRPr="00D044FD">
        <w:rPr>
          <w:rFonts w:ascii="Times New Roman" w:hAnsi="Times New Roman" w:cs="Times New Roman"/>
          <w:i/>
          <w:color w:val="000000" w:themeColor="text1"/>
          <w:sz w:val="24"/>
          <w:szCs w:val="24"/>
        </w:rPr>
        <w:t>notamment, à la Déclara</w:t>
      </w:r>
      <w:r w:rsidR="00B4553B" w:rsidRPr="00D044FD">
        <w:rPr>
          <w:rFonts w:ascii="Times New Roman" w:hAnsi="Times New Roman" w:cs="Times New Roman"/>
          <w:i/>
          <w:color w:val="000000" w:themeColor="text1"/>
          <w:sz w:val="24"/>
          <w:szCs w:val="24"/>
        </w:rPr>
        <w:t>tion Universelle des Droits de l</w:t>
      </w:r>
      <w:r w:rsidRPr="00D044FD">
        <w:rPr>
          <w:rFonts w:ascii="Times New Roman" w:hAnsi="Times New Roman" w:cs="Times New Roman"/>
          <w:i/>
          <w:color w:val="000000" w:themeColor="text1"/>
          <w:sz w:val="24"/>
          <w:szCs w:val="24"/>
        </w:rPr>
        <w:t xml:space="preserve">’Homme de 1948 qui affirmait en son article 26, le droit de toute personne à l’éducation. </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xml:space="preserve">Elles se sont trouvées en fort décalage avec les ratifications, par la loi n°90-21 du 26 Juin 1990, la Convention internationale des droits de l’enfant et par, la loi n°98-41 du Septembre 1998, de la Charte africaine des Droits et du Bien-être de l’enfant, deux instruments </w:t>
      </w:r>
      <w:r w:rsidRPr="00D044FD">
        <w:rPr>
          <w:rFonts w:ascii="Times New Roman" w:hAnsi="Times New Roman" w:cs="Times New Roman"/>
          <w:i/>
          <w:color w:val="000000" w:themeColor="text1"/>
          <w:sz w:val="24"/>
          <w:szCs w:val="24"/>
        </w:rPr>
        <w:lastRenderedPageBreak/>
        <w:t>internationaux qui affirment le droit de l’enfant à l’éducation et en détaillent les objectifs visés.</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La Constitution de 2001 prend à son compte la rédaction de ces textes internationaux, en faisant de la République du Sénégal le garant de libertés fondamentales et de droit économiques et sociaux, dont le droit à l’éducation ainsi que celui de savoir lire et écrire.</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A cette proclamation de l’article 8 s’ajoute la précision des dispositions de l’article 22 alinéa 2 selon les quelles «  tous les enfants, garçons et filles, en tout lieu du territoire national, ont le droit d’accéder à l’école »</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Ces dispositions sont explicitées par l’article 20, conçu en ces termes : «  les parents ont le droit naturel et le devoir d’élever leurs enfants. Ils sont soutenus, dans cette tâche, par l’Etat et les collectivités publiques. La jeunesse est protégée par l’Etat et les collectivités publiques contre l’exploitation, la drogue, les stupéfiants, l’abandon moral et la délinquance. »</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Le tribunal qui prononce l’une des mesures de protection, d’assistance, de surveillance, d’éducation, ou qui décide d’une condamnation pénale peut ordonner le placement du mineur sous le régime de la liberté surveillée, c’est-à-dire en le laissant dans sa famille ou en le confiant à une personne offrant des garanties.</w:t>
      </w:r>
    </w:p>
    <w:p w:rsidR="00D5084E"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xml:space="preserve">Cette disposition, introduite par la loi n°69-71 du 30 Octobre 1969, sans exposé des motifs ni définition de l’expression « liberté surveillée », sera utilement éclaircie par la loi 79-39 du 11 avril 1979 qui a adjoint « l’action éducative » à la surveillance des mineurs après le constat que « les enquêtes sociales comme la surveillance du mineur laissé en liberté n’ont de sens que dans la mesure où s’effectue un travail éducatif non seulement sur le mineur mais également sur la famille qui est souvent cause de l’inadaptation juvénile. » </w:t>
      </w:r>
    </w:p>
    <w:p w:rsidR="006A1EBC" w:rsidRPr="00D044FD" w:rsidRDefault="006A1EBC" w:rsidP="0098524B">
      <w:pPr>
        <w:autoSpaceDE w:val="0"/>
        <w:autoSpaceDN w:val="0"/>
        <w:adjustRightInd w:val="0"/>
        <w:spacing w:before="120" w:after="120" w:line="360" w:lineRule="auto"/>
        <w:jc w:val="both"/>
        <w:rPr>
          <w:rFonts w:ascii="Times New Roman" w:hAnsi="Times New Roman" w:cs="Times New Roman"/>
          <w:i/>
          <w:color w:val="000000" w:themeColor="text1"/>
          <w:sz w:val="24"/>
          <w:szCs w:val="24"/>
        </w:rPr>
      </w:pPr>
      <w:r w:rsidRPr="00D044FD">
        <w:rPr>
          <w:rFonts w:ascii="Times New Roman" w:hAnsi="Times New Roman" w:cs="Times New Roman"/>
          <w:i/>
          <w:color w:val="000000" w:themeColor="text1"/>
          <w:sz w:val="24"/>
          <w:szCs w:val="24"/>
        </w:rPr>
        <w:t xml:space="preserve"> (Extrait</w:t>
      </w:r>
      <w:r w:rsidR="00B5183D" w:rsidRPr="00D044FD">
        <w:rPr>
          <w:rFonts w:ascii="Times New Roman" w:hAnsi="Times New Roman" w:cs="Times New Roman"/>
          <w:i/>
          <w:color w:val="000000" w:themeColor="text1"/>
          <w:sz w:val="24"/>
          <w:szCs w:val="24"/>
        </w:rPr>
        <w:t xml:space="preserve"> </w:t>
      </w:r>
      <w:r w:rsidRPr="00D044FD">
        <w:rPr>
          <w:rFonts w:ascii="Times New Roman" w:hAnsi="Times New Roman" w:cs="Times New Roman"/>
          <w:i/>
          <w:color w:val="000000" w:themeColor="text1"/>
          <w:sz w:val="24"/>
          <w:szCs w:val="24"/>
        </w:rPr>
        <w:t>de l’ouvrage « Droit Pénitentiaire sénégalais », B.GUEYE,</w:t>
      </w:r>
      <w:r w:rsidR="00B5183D" w:rsidRPr="00D044FD">
        <w:rPr>
          <w:rFonts w:ascii="Times New Roman" w:hAnsi="Times New Roman" w:cs="Times New Roman"/>
          <w:i/>
          <w:color w:val="000000" w:themeColor="text1"/>
          <w:sz w:val="24"/>
          <w:szCs w:val="24"/>
        </w:rPr>
        <w:t xml:space="preserve"> </w:t>
      </w:r>
      <w:r w:rsidRPr="00D044FD">
        <w:rPr>
          <w:rFonts w:ascii="Times New Roman" w:hAnsi="Times New Roman" w:cs="Times New Roman"/>
          <w:i/>
          <w:color w:val="000000" w:themeColor="text1"/>
          <w:sz w:val="24"/>
          <w:szCs w:val="24"/>
        </w:rPr>
        <w:t>EDJA, 2015, p.330 à 333.)</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54</w:t>
      </w:r>
    </w:p>
    <w:p w:rsidR="004F7450" w:rsidRPr="00CC4ADC" w:rsidRDefault="00B6204E" w:rsidP="0098524B">
      <w:pPr>
        <w:spacing w:line="360" w:lineRule="auto"/>
        <w:jc w:val="both"/>
        <w:rPr>
          <w:rFonts w:ascii="Times New Roman" w:hAnsi="Times New Roman" w:cs="Times New Roman"/>
          <w:b/>
          <w:sz w:val="24"/>
          <w:szCs w:val="24"/>
        </w:rPr>
      </w:pPr>
      <w:r w:rsidRPr="00CC4ADC">
        <w:rPr>
          <w:rFonts w:ascii="Times New Roman" w:hAnsi="Times New Roman" w:cs="Times New Roman"/>
          <w:b/>
          <w:sz w:val="24"/>
          <w:szCs w:val="24"/>
        </w:rPr>
        <w:t>Les aubergistes et</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hôteliers, convaincus d'avoir</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logé, plus de vingt-quatre</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heures, quelqu'un qui,</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pendant son séjour, aurait</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commis un crime ou un délit,</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seront civilement responsables</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des restitutions, des</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indemnités et des frais</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adjugés à ceux à qui ce crime</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ou ce délit aurait causé</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quelque dommage, faute par</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eux d'avoir inscrit sur leur</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registre le nom, la profession</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et le domicile du coupable</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sans préjudice de leur</w:t>
      </w:r>
      <w:r w:rsidR="00A56472"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responsabilité civile.</w:t>
      </w:r>
      <w:r w:rsidR="009331F6" w:rsidRPr="00CC4ADC">
        <w:rPr>
          <w:rFonts w:ascii="Times New Roman" w:hAnsi="Times New Roman" w:cs="Times New Roman"/>
          <w:b/>
          <w:i/>
          <w:sz w:val="24"/>
          <w:szCs w:val="24"/>
        </w:rPr>
        <w:tab/>
        <w:t xml:space="preserve"> </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lastRenderedPageBreak/>
        <w:t>Article 55</w:t>
      </w:r>
    </w:p>
    <w:p w:rsidR="00B6204E" w:rsidRPr="00CC4ADC" w:rsidRDefault="00B6204E" w:rsidP="0098524B">
      <w:pPr>
        <w:spacing w:line="360" w:lineRule="auto"/>
        <w:jc w:val="both"/>
        <w:rPr>
          <w:rFonts w:ascii="Times New Roman" w:hAnsi="Times New Roman" w:cs="Times New Roman"/>
          <w:b/>
          <w:sz w:val="24"/>
          <w:szCs w:val="24"/>
        </w:rPr>
      </w:pPr>
      <w:r w:rsidRPr="00CC4ADC">
        <w:rPr>
          <w:rFonts w:ascii="Times New Roman" w:hAnsi="Times New Roman" w:cs="Times New Roman"/>
          <w:b/>
          <w:sz w:val="24"/>
          <w:szCs w:val="24"/>
        </w:rPr>
        <w:t>Dans les autres cas de</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responsabilité civile qui</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pourront se présenter dans</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les affaires criminelles,</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correctionnelles, ou de police,</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les Cours et Tribunaux devant</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qui ces affaires seront</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portées se conformeront aux</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dispositions du Code des</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Obligations civiles et</w:t>
      </w:r>
      <w:r w:rsidR="00821CA5" w:rsidRPr="00CC4ADC">
        <w:rPr>
          <w:rFonts w:ascii="Times New Roman" w:hAnsi="Times New Roman" w:cs="Times New Roman"/>
          <w:b/>
          <w:sz w:val="24"/>
          <w:szCs w:val="24"/>
        </w:rPr>
        <w:t xml:space="preserve"> </w:t>
      </w:r>
      <w:r w:rsidRPr="00CC4ADC">
        <w:rPr>
          <w:rFonts w:ascii="Times New Roman" w:hAnsi="Times New Roman" w:cs="Times New Roman"/>
          <w:b/>
          <w:sz w:val="24"/>
          <w:szCs w:val="24"/>
        </w:rPr>
        <w:t>commerciales.</w:t>
      </w:r>
    </w:p>
    <w:p w:rsidR="00E42A02" w:rsidRDefault="00E42A02" w:rsidP="0098524B">
      <w:pPr>
        <w:spacing w:line="360" w:lineRule="auto"/>
        <w:jc w:val="both"/>
        <w:rPr>
          <w:rFonts w:ascii="Times New Roman" w:hAnsi="Times New Roman" w:cs="Times New Roman"/>
          <w:sz w:val="24"/>
          <w:szCs w:val="24"/>
        </w:rPr>
      </w:pPr>
    </w:p>
    <w:p w:rsidR="00E42A02" w:rsidRDefault="00E42A02"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9762AA" w:rsidRDefault="009762AA" w:rsidP="0098524B">
      <w:pPr>
        <w:spacing w:line="360" w:lineRule="auto"/>
        <w:jc w:val="both"/>
        <w:rPr>
          <w:rFonts w:ascii="Times New Roman" w:hAnsi="Times New Roman" w:cs="Times New Roman"/>
          <w:sz w:val="24"/>
          <w:szCs w:val="24"/>
        </w:rPr>
      </w:pPr>
    </w:p>
    <w:p w:rsidR="00E42A02" w:rsidRDefault="00E42A02" w:rsidP="0098524B">
      <w:pPr>
        <w:spacing w:line="360" w:lineRule="auto"/>
        <w:jc w:val="both"/>
        <w:rPr>
          <w:rFonts w:ascii="Times New Roman" w:hAnsi="Times New Roman" w:cs="Times New Roman"/>
          <w:sz w:val="24"/>
          <w:szCs w:val="24"/>
        </w:rPr>
      </w:pPr>
    </w:p>
    <w:p w:rsidR="00E42A02" w:rsidRDefault="00E42A02" w:rsidP="0098524B">
      <w:pPr>
        <w:spacing w:line="360" w:lineRule="auto"/>
        <w:jc w:val="both"/>
        <w:rPr>
          <w:rFonts w:ascii="Times New Roman" w:hAnsi="Times New Roman" w:cs="Times New Roman"/>
          <w:sz w:val="24"/>
          <w:szCs w:val="24"/>
        </w:rPr>
      </w:pPr>
    </w:p>
    <w:p w:rsidR="00E42A02" w:rsidRDefault="00E42A02" w:rsidP="0098524B">
      <w:pPr>
        <w:spacing w:line="360" w:lineRule="auto"/>
        <w:jc w:val="both"/>
        <w:rPr>
          <w:rFonts w:ascii="Times New Roman" w:hAnsi="Times New Roman" w:cs="Times New Roman"/>
          <w:sz w:val="24"/>
          <w:szCs w:val="24"/>
        </w:rPr>
      </w:pPr>
    </w:p>
    <w:p w:rsidR="00B57592" w:rsidRPr="00F93435" w:rsidRDefault="00B57592" w:rsidP="0098524B">
      <w:pPr>
        <w:spacing w:line="360" w:lineRule="auto"/>
        <w:jc w:val="both"/>
        <w:rPr>
          <w:rFonts w:ascii="Times New Roman" w:hAnsi="Times New Roman" w:cs="Times New Roman"/>
          <w:sz w:val="24"/>
          <w:szCs w:val="24"/>
        </w:rPr>
      </w:pPr>
    </w:p>
    <w:p w:rsidR="00B6204E" w:rsidRPr="009762AA" w:rsidRDefault="00B6204E" w:rsidP="009762AA">
      <w:pPr>
        <w:pStyle w:val="Titre1"/>
        <w:rPr>
          <w:i w:val="0"/>
          <w:iCs/>
        </w:rPr>
      </w:pPr>
      <w:bookmarkStart w:id="31" w:name="_Toc521059413"/>
      <w:r w:rsidRPr="009762AA">
        <w:rPr>
          <w:i w:val="0"/>
          <w:iCs/>
        </w:rPr>
        <w:lastRenderedPageBreak/>
        <w:t>LIVRE TROISIEME</w:t>
      </w:r>
      <w:r w:rsidR="00821CA5" w:rsidRPr="009762AA">
        <w:rPr>
          <w:i w:val="0"/>
          <w:iCs/>
        </w:rPr>
        <w:t xml:space="preserve"> : </w:t>
      </w:r>
      <w:r w:rsidRPr="009762AA">
        <w:rPr>
          <w:i w:val="0"/>
          <w:iCs/>
        </w:rPr>
        <w:t>DES CRIMES, DES DELITS</w:t>
      </w:r>
      <w:r w:rsidR="00821CA5" w:rsidRPr="009762AA">
        <w:rPr>
          <w:i w:val="0"/>
          <w:iCs/>
        </w:rPr>
        <w:t xml:space="preserve"> </w:t>
      </w:r>
      <w:r w:rsidRPr="009762AA">
        <w:rPr>
          <w:i w:val="0"/>
          <w:iCs/>
        </w:rPr>
        <w:t>ET DE LEUR PUNITION</w:t>
      </w:r>
      <w:bookmarkEnd w:id="31"/>
    </w:p>
    <w:p w:rsidR="00B6204E" w:rsidRPr="009762AA" w:rsidRDefault="00B6204E" w:rsidP="0098524B">
      <w:pPr>
        <w:spacing w:line="360" w:lineRule="auto"/>
        <w:jc w:val="both"/>
        <w:rPr>
          <w:rFonts w:ascii="Times New Roman" w:hAnsi="Times New Roman" w:cs="Times New Roman"/>
          <w:b/>
          <w:bCs/>
          <w:iCs/>
          <w:sz w:val="24"/>
          <w:szCs w:val="24"/>
        </w:rPr>
      </w:pPr>
      <w:r w:rsidRPr="009762AA">
        <w:rPr>
          <w:rFonts w:ascii="Times New Roman" w:hAnsi="Times New Roman" w:cs="Times New Roman"/>
          <w:b/>
          <w:bCs/>
          <w:iCs/>
          <w:sz w:val="24"/>
          <w:szCs w:val="24"/>
        </w:rPr>
        <w:t>T</w:t>
      </w:r>
      <w:r w:rsidRPr="009762AA">
        <w:rPr>
          <w:rStyle w:val="Titre1Car"/>
          <w:i w:val="0"/>
          <w:iCs/>
        </w:rPr>
        <w:t>ITRE PREMIER</w:t>
      </w:r>
      <w:r w:rsidR="00821CA5" w:rsidRPr="009762AA">
        <w:rPr>
          <w:rStyle w:val="Titre1Car"/>
          <w:i w:val="0"/>
          <w:iCs/>
        </w:rPr>
        <w:t xml:space="preserve"> : </w:t>
      </w:r>
      <w:r w:rsidRPr="009762AA">
        <w:rPr>
          <w:rStyle w:val="Titre1Car"/>
          <w:i w:val="0"/>
          <w:iCs/>
        </w:rPr>
        <w:t>DES CRIMES ET DELITS</w:t>
      </w:r>
      <w:r w:rsidR="00821CA5" w:rsidRPr="009762AA">
        <w:rPr>
          <w:rStyle w:val="Titre1Car"/>
          <w:i w:val="0"/>
          <w:iCs/>
        </w:rPr>
        <w:t xml:space="preserve"> </w:t>
      </w:r>
      <w:r w:rsidRPr="009762AA">
        <w:rPr>
          <w:rStyle w:val="Titre1Car"/>
          <w:i w:val="0"/>
          <w:iCs/>
        </w:rPr>
        <w:t>CONTRE</w:t>
      </w:r>
      <w:r w:rsidR="00821CA5" w:rsidRPr="009762AA">
        <w:rPr>
          <w:rStyle w:val="Titre1Car"/>
          <w:i w:val="0"/>
          <w:iCs/>
        </w:rPr>
        <w:t xml:space="preserve"> </w:t>
      </w:r>
      <w:r w:rsidRPr="009762AA">
        <w:rPr>
          <w:rStyle w:val="Titre1Car"/>
          <w:i w:val="0"/>
          <w:iCs/>
        </w:rPr>
        <w:t>LA CHOSE PUBLIQUE</w:t>
      </w:r>
      <w:r w:rsidR="00821CA5" w:rsidRPr="009762AA">
        <w:rPr>
          <w:rStyle w:val="Titre1Car"/>
          <w:i w:val="0"/>
          <w:iCs/>
        </w:rPr>
        <w:t xml:space="preserve"> </w:t>
      </w:r>
      <w:r w:rsidRPr="009762AA">
        <w:rPr>
          <w:rStyle w:val="Titre1Car"/>
          <w:i w:val="0"/>
          <w:iCs/>
        </w:rPr>
        <w:t>CHAPITRE PREMIER</w:t>
      </w:r>
      <w:r w:rsidR="006677E5" w:rsidRPr="009762AA">
        <w:rPr>
          <w:rStyle w:val="Titre1Car"/>
          <w:i w:val="0"/>
          <w:iCs/>
        </w:rPr>
        <w:t> :</w:t>
      </w:r>
      <w:r w:rsidR="00821CA5" w:rsidRPr="009762AA">
        <w:rPr>
          <w:rStyle w:val="Titre1Car"/>
          <w:i w:val="0"/>
          <w:iCs/>
        </w:rPr>
        <w:t xml:space="preserve"> </w:t>
      </w:r>
      <w:r w:rsidRPr="009762AA">
        <w:rPr>
          <w:rStyle w:val="Titre1Car"/>
          <w:i w:val="0"/>
          <w:iCs/>
        </w:rPr>
        <w:t>CRIMES ET DELITS</w:t>
      </w:r>
      <w:r w:rsidR="00821CA5" w:rsidRPr="009762AA">
        <w:rPr>
          <w:rStyle w:val="Titre1Car"/>
          <w:i w:val="0"/>
          <w:iCs/>
        </w:rPr>
        <w:t xml:space="preserve"> </w:t>
      </w:r>
      <w:r w:rsidRPr="009762AA">
        <w:rPr>
          <w:rStyle w:val="Titre1Car"/>
          <w:i w:val="0"/>
          <w:iCs/>
        </w:rPr>
        <w:t>CONTRE LA SURETE DE</w:t>
      </w:r>
      <w:r w:rsidR="00821CA5" w:rsidRPr="009762AA">
        <w:rPr>
          <w:rStyle w:val="Titre1Car"/>
          <w:i w:val="0"/>
          <w:iCs/>
        </w:rPr>
        <w:t xml:space="preserve"> </w:t>
      </w:r>
      <w:r w:rsidRPr="009762AA">
        <w:rPr>
          <w:rStyle w:val="Titre1Car"/>
          <w:i w:val="0"/>
          <w:iCs/>
        </w:rPr>
        <w:t>L'ETAT</w:t>
      </w:r>
    </w:p>
    <w:p w:rsidR="00B6204E" w:rsidRPr="009762AA" w:rsidRDefault="00B6204E" w:rsidP="009762AA">
      <w:pPr>
        <w:pStyle w:val="Titre1"/>
        <w:rPr>
          <w:i w:val="0"/>
          <w:iCs/>
        </w:rPr>
      </w:pPr>
      <w:bookmarkStart w:id="32" w:name="_Toc521059414"/>
      <w:r w:rsidRPr="009762AA">
        <w:rPr>
          <w:i w:val="0"/>
          <w:iCs/>
        </w:rPr>
        <w:t>SECTION PREMIERE</w:t>
      </w:r>
      <w:r w:rsidR="00821CA5" w:rsidRPr="009762AA">
        <w:rPr>
          <w:i w:val="0"/>
          <w:iCs/>
        </w:rPr>
        <w:t xml:space="preserve"> : </w:t>
      </w:r>
      <w:r w:rsidRPr="009762AA">
        <w:rPr>
          <w:i w:val="0"/>
          <w:iCs/>
        </w:rPr>
        <w:t>DES CRIMES DE TRAHISON</w:t>
      </w:r>
      <w:r w:rsidR="00821CA5" w:rsidRPr="009762AA">
        <w:rPr>
          <w:i w:val="0"/>
          <w:iCs/>
        </w:rPr>
        <w:t xml:space="preserve"> </w:t>
      </w:r>
      <w:r w:rsidRPr="009762AA">
        <w:rPr>
          <w:i w:val="0"/>
          <w:iCs/>
        </w:rPr>
        <w:t>ET D'ESPIONNAGE</w:t>
      </w:r>
      <w:bookmarkEnd w:id="32"/>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56</w:t>
      </w:r>
    </w:p>
    <w:p w:rsidR="00B6204E" w:rsidRPr="00AD1409" w:rsidRDefault="00B6204E" w:rsidP="0098524B">
      <w:pPr>
        <w:spacing w:line="360" w:lineRule="auto"/>
        <w:jc w:val="both"/>
        <w:rPr>
          <w:rFonts w:ascii="Times New Roman" w:hAnsi="Times New Roman" w:cs="Times New Roman"/>
          <w:b/>
          <w:sz w:val="24"/>
          <w:szCs w:val="24"/>
        </w:rPr>
      </w:pPr>
      <w:r w:rsidRPr="00AD1409">
        <w:rPr>
          <w:rFonts w:ascii="Times New Roman" w:hAnsi="Times New Roman" w:cs="Times New Roman"/>
          <w:b/>
          <w:sz w:val="24"/>
          <w:szCs w:val="24"/>
        </w:rPr>
        <w:t>Sera coupable de trahison</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et puni de mort tout</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Sénégalais, tout militaire ou</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marin au service du Sénégal</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qui :</w:t>
      </w:r>
    </w:p>
    <w:p w:rsidR="00B6204E" w:rsidRPr="00AD1409" w:rsidRDefault="00B6204E" w:rsidP="0098524B">
      <w:pPr>
        <w:spacing w:line="360" w:lineRule="auto"/>
        <w:jc w:val="both"/>
        <w:rPr>
          <w:rFonts w:ascii="Times New Roman" w:hAnsi="Times New Roman" w:cs="Times New Roman"/>
          <w:b/>
          <w:sz w:val="24"/>
          <w:szCs w:val="24"/>
        </w:rPr>
      </w:pPr>
      <w:r w:rsidRPr="00AD1409">
        <w:rPr>
          <w:rFonts w:ascii="Times New Roman" w:hAnsi="Times New Roman" w:cs="Times New Roman"/>
          <w:b/>
          <w:sz w:val="24"/>
          <w:szCs w:val="24"/>
        </w:rPr>
        <w:t>1) Portera les armes</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contre le Sénégal;</w:t>
      </w:r>
    </w:p>
    <w:p w:rsidR="00B6204E" w:rsidRPr="00AD1409" w:rsidRDefault="00B6204E" w:rsidP="0098524B">
      <w:pPr>
        <w:spacing w:line="360" w:lineRule="auto"/>
        <w:jc w:val="both"/>
        <w:rPr>
          <w:rFonts w:ascii="Times New Roman" w:hAnsi="Times New Roman" w:cs="Times New Roman"/>
          <w:b/>
          <w:sz w:val="24"/>
          <w:szCs w:val="24"/>
        </w:rPr>
      </w:pPr>
      <w:r w:rsidRPr="00AD1409">
        <w:rPr>
          <w:rFonts w:ascii="Times New Roman" w:hAnsi="Times New Roman" w:cs="Times New Roman"/>
          <w:b/>
          <w:sz w:val="24"/>
          <w:szCs w:val="24"/>
        </w:rPr>
        <w:t>2) Entretiendra des</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intelligences avec une</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puissance étrangère, en vue</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de l'engager à entreprendre</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des hostilités contre le</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Sénégal, ou lui en fournira les</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moyens, soit en facilitant la</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pénétration des forces</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étrangères sur le territoire</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sénégalais, soit en ébranlant</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la fidélité des armées de</w:t>
      </w:r>
      <w:r w:rsidR="00821CA5"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terre, de mer ou de l'air, soit</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de toute autre manière;</w:t>
      </w:r>
    </w:p>
    <w:p w:rsidR="00B6204E" w:rsidRPr="00AD1409" w:rsidRDefault="00B6204E" w:rsidP="0098524B">
      <w:pPr>
        <w:spacing w:line="360" w:lineRule="auto"/>
        <w:jc w:val="both"/>
        <w:rPr>
          <w:rFonts w:ascii="Times New Roman" w:hAnsi="Times New Roman" w:cs="Times New Roman"/>
          <w:b/>
          <w:sz w:val="24"/>
          <w:szCs w:val="24"/>
        </w:rPr>
      </w:pPr>
      <w:r w:rsidRPr="00AD1409">
        <w:rPr>
          <w:rFonts w:ascii="Times New Roman" w:hAnsi="Times New Roman" w:cs="Times New Roman"/>
          <w:b/>
          <w:sz w:val="24"/>
          <w:szCs w:val="24"/>
        </w:rPr>
        <w:t>3) Livrera à une puissance</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étrangère ou à ses agents,</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soit des troupes sénégalaises,</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soit des territoires,</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villes, forteresses, ouvrages,</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postes, magasins, arsenaux,</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matériels, munitions, vaisseaux,</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bâtiments ou appareils</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de navigation aérienne</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appartenant au Sénégal ou</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affectés à sa défense;</w:t>
      </w:r>
    </w:p>
    <w:p w:rsidR="00B6204E" w:rsidRPr="00AD1409" w:rsidRDefault="00B6204E" w:rsidP="0098524B">
      <w:pPr>
        <w:spacing w:line="360" w:lineRule="auto"/>
        <w:jc w:val="both"/>
        <w:rPr>
          <w:rFonts w:ascii="Times New Roman" w:hAnsi="Times New Roman" w:cs="Times New Roman"/>
          <w:b/>
          <w:sz w:val="24"/>
          <w:szCs w:val="24"/>
        </w:rPr>
      </w:pPr>
      <w:r w:rsidRPr="00AD1409">
        <w:rPr>
          <w:rFonts w:ascii="Times New Roman" w:hAnsi="Times New Roman" w:cs="Times New Roman"/>
          <w:b/>
          <w:sz w:val="24"/>
          <w:szCs w:val="24"/>
        </w:rPr>
        <w:t>4) En vue de nuire à la</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défense nationale, détruira ou</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détériorera un navire, un</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appareil de navigation</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aérienne, un matériel, une</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fourniture, une construction</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ou une installation</w:t>
      </w:r>
      <w:r w:rsidR="007F1718" w:rsidRPr="00AD1409">
        <w:rPr>
          <w:rFonts w:ascii="Times New Roman" w:hAnsi="Times New Roman" w:cs="Times New Roman"/>
          <w:b/>
          <w:sz w:val="24"/>
          <w:szCs w:val="24"/>
        </w:rPr>
        <w:t xml:space="preserve"> quelconque, </w:t>
      </w:r>
      <w:r w:rsidRPr="00AD1409">
        <w:rPr>
          <w:rFonts w:ascii="Times New Roman" w:hAnsi="Times New Roman" w:cs="Times New Roman"/>
          <w:b/>
          <w:sz w:val="24"/>
          <w:szCs w:val="24"/>
        </w:rPr>
        <w:t>ou qui, dans le</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même but, y apportera, soit</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avant, soit après leur</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achèvement, des malfaçons</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de nature à les endommager</w:t>
      </w:r>
      <w:r w:rsidR="007F1718" w:rsidRPr="00AD1409">
        <w:rPr>
          <w:rFonts w:ascii="Times New Roman" w:hAnsi="Times New Roman" w:cs="Times New Roman"/>
          <w:b/>
          <w:sz w:val="24"/>
          <w:szCs w:val="24"/>
        </w:rPr>
        <w:t xml:space="preserve"> </w:t>
      </w:r>
      <w:r w:rsidRPr="00AD1409">
        <w:rPr>
          <w:rFonts w:ascii="Times New Roman" w:hAnsi="Times New Roman" w:cs="Times New Roman"/>
          <w:b/>
          <w:sz w:val="24"/>
          <w:szCs w:val="24"/>
        </w:rPr>
        <w:t>ou à provoquer un accident.</w:t>
      </w:r>
    </w:p>
    <w:p w:rsidR="00763CFA" w:rsidRPr="00531483" w:rsidRDefault="00763CFA" w:rsidP="00763CFA">
      <w:pPr>
        <w:pStyle w:val="Paragraphedeliste"/>
        <w:numPr>
          <w:ilvl w:val="0"/>
          <w:numId w:val="3"/>
        </w:numPr>
        <w:spacing w:line="360" w:lineRule="auto"/>
        <w:jc w:val="both"/>
        <w:rPr>
          <w:rFonts w:ascii="Times New Roman" w:hAnsi="Times New Roman" w:cs="Times New Roman"/>
          <w:i/>
          <w:sz w:val="24"/>
          <w:szCs w:val="24"/>
        </w:rPr>
      </w:pPr>
      <w:r w:rsidRPr="00445C04">
        <w:rPr>
          <w:rFonts w:ascii="Times New Roman" w:hAnsi="Times New Roman" w:cs="Times New Roman"/>
          <w:b/>
          <w:i/>
          <w:sz w:val="24"/>
          <w:szCs w:val="24"/>
          <w:u w:val="single"/>
        </w:rPr>
        <w:t>Commentaire</w:t>
      </w:r>
      <w:r>
        <w:rPr>
          <w:rFonts w:ascii="Times New Roman" w:hAnsi="Times New Roman" w:cs="Times New Roman"/>
          <w:i/>
          <w:sz w:val="24"/>
          <w:szCs w:val="24"/>
        </w:rPr>
        <w:t xml:space="preserve"> : la peine de mort abolie par la  loi n° 2004-38 du 28 décembre 2004 est remplacée par la peine des travaux forcés à perpétuité par la loi n° 2007-01 du 12 février 2007. </w:t>
      </w:r>
    </w:p>
    <w:p w:rsidR="00002E7B" w:rsidRDefault="00002E7B" w:rsidP="0098524B">
      <w:pPr>
        <w:spacing w:line="360" w:lineRule="auto"/>
        <w:jc w:val="both"/>
        <w:rPr>
          <w:rFonts w:ascii="Times New Roman" w:hAnsi="Times New Roman" w:cs="Times New Roman"/>
          <w:sz w:val="24"/>
          <w:szCs w:val="24"/>
        </w:rPr>
      </w:pPr>
    </w:p>
    <w:p w:rsidR="00763CFA" w:rsidRDefault="00763CFA" w:rsidP="0098524B">
      <w:pPr>
        <w:spacing w:line="360" w:lineRule="auto"/>
        <w:jc w:val="both"/>
        <w:rPr>
          <w:rFonts w:ascii="Times New Roman" w:hAnsi="Times New Roman" w:cs="Times New Roman"/>
          <w:sz w:val="24"/>
          <w:szCs w:val="24"/>
        </w:rPr>
      </w:pPr>
    </w:p>
    <w:p w:rsidR="00763CFA" w:rsidRDefault="00763CFA" w:rsidP="0098524B">
      <w:pPr>
        <w:spacing w:line="360" w:lineRule="auto"/>
        <w:jc w:val="both"/>
        <w:rPr>
          <w:rFonts w:ascii="Times New Roman" w:hAnsi="Times New Roman" w:cs="Times New Roman"/>
          <w:sz w:val="24"/>
          <w:szCs w:val="24"/>
        </w:rPr>
      </w:pPr>
    </w:p>
    <w:p w:rsidR="00002E7B" w:rsidRPr="00F93435" w:rsidRDefault="00002E7B" w:rsidP="0098524B">
      <w:pPr>
        <w:spacing w:line="360" w:lineRule="auto"/>
        <w:jc w:val="both"/>
        <w:rPr>
          <w:rFonts w:ascii="Times New Roman" w:hAnsi="Times New Roman" w:cs="Times New Roman"/>
          <w:sz w:val="24"/>
          <w:szCs w:val="24"/>
        </w:rPr>
      </w:pP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lastRenderedPageBreak/>
        <w:t>Article 57</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Sera coupable de trahison</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et puni de mort tout</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Sénégalais, tout militaire ou</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marin au service du Sénégal</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qui, en temps de guerre :</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1) Provoquera des</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militaires ou des marins à</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passer au service d'une</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puissance étrangère, leur en</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facilitera les moyens ou fera</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des enrôlements pour une</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puissance en guerre avec le</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Sénégal;</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2) Entretiendra des intelligences</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avec une puissance</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étrangère ou avec ses agents</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en vue de favoriser les</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entreprises de cette</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puissance contre le Sénégal;</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3) Aura entravé la</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circulation de matériel</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militaire;</w:t>
      </w:r>
    </w:p>
    <w:p w:rsidR="00B6204E" w:rsidRPr="00BE2175" w:rsidRDefault="00D5084E" w:rsidP="0098524B">
      <w:pPr>
        <w:spacing w:line="36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                                          </w:t>
      </w:r>
      <w:r w:rsidR="00B6204E" w:rsidRPr="00BE2175">
        <w:rPr>
          <w:rFonts w:ascii="Times New Roman" w:hAnsi="Times New Roman" w:cs="Times New Roman"/>
          <w:b/>
          <w:i/>
          <w:iCs/>
          <w:sz w:val="24"/>
          <w:szCs w:val="24"/>
        </w:rPr>
        <w:t>(Loi n° 77-84 du</w:t>
      </w:r>
      <w:r w:rsidR="007F1718" w:rsidRPr="00BE2175">
        <w:rPr>
          <w:rFonts w:ascii="Times New Roman" w:hAnsi="Times New Roman" w:cs="Times New Roman"/>
          <w:b/>
          <w:i/>
          <w:iCs/>
          <w:sz w:val="24"/>
          <w:szCs w:val="24"/>
        </w:rPr>
        <w:t xml:space="preserve"> </w:t>
      </w:r>
      <w:r w:rsidR="00B6204E" w:rsidRPr="00BE2175">
        <w:rPr>
          <w:rFonts w:ascii="Times New Roman" w:hAnsi="Times New Roman" w:cs="Times New Roman"/>
          <w:b/>
          <w:i/>
          <w:iCs/>
          <w:sz w:val="24"/>
          <w:szCs w:val="24"/>
        </w:rPr>
        <w:t>10 août 1977)</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4) Aura participé en</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connaissance de cause, par</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quelque moyen que ce soit, à</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une entreprise de démoralisation</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de l'Armée ou de la</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Nation ayant pour but:</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 soit de nuire à la</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défense nationale ou à la</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sûreté de l'Etat;</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 soit de la détourner du</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respect de la Constitution, et</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notamment de l'obéissance</w:t>
      </w:r>
      <w:r w:rsidR="007F171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qu'elle doit au Président de la</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République, Chef des</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Armées.</w:t>
      </w:r>
    </w:p>
    <w:p w:rsidR="00763CFA" w:rsidRPr="005E72CE" w:rsidRDefault="00763CFA" w:rsidP="0098524B">
      <w:pPr>
        <w:pStyle w:val="Paragraphedeliste"/>
        <w:numPr>
          <w:ilvl w:val="0"/>
          <w:numId w:val="3"/>
        </w:numPr>
        <w:spacing w:line="360" w:lineRule="auto"/>
        <w:jc w:val="both"/>
        <w:rPr>
          <w:rFonts w:ascii="Times New Roman" w:hAnsi="Times New Roman" w:cs="Times New Roman"/>
          <w:i/>
          <w:sz w:val="24"/>
          <w:szCs w:val="24"/>
        </w:rPr>
      </w:pPr>
      <w:r w:rsidRPr="00BE2175">
        <w:rPr>
          <w:rFonts w:ascii="Times New Roman" w:hAnsi="Times New Roman" w:cs="Times New Roman"/>
          <w:b/>
          <w:i/>
          <w:sz w:val="24"/>
          <w:szCs w:val="24"/>
          <w:u w:val="single"/>
        </w:rPr>
        <w:t>Commentaire</w:t>
      </w:r>
      <w:r>
        <w:rPr>
          <w:rFonts w:ascii="Times New Roman" w:hAnsi="Times New Roman" w:cs="Times New Roman"/>
          <w:i/>
          <w:sz w:val="24"/>
          <w:szCs w:val="24"/>
        </w:rPr>
        <w:t xml:space="preserve"> : la peine de mort abolie par la  loi n° 2004-38 du 28 décembre 2004 est remplacée par la peine des travaux forcés à perpétuité par la loi n° 2007-01 du 12 février 2007. </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58</w:t>
      </w:r>
    </w:p>
    <w:p w:rsidR="00B6204E" w:rsidRPr="005E72CE" w:rsidRDefault="00B6204E" w:rsidP="0098524B">
      <w:pPr>
        <w:spacing w:line="360" w:lineRule="auto"/>
        <w:jc w:val="both"/>
        <w:rPr>
          <w:rFonts w:ascii="Times New Roman" w:hAnsi="Times New Roman" w:cs="Times New Roman"/>
          <w:b/>
          <w:sz w:val="24"/>
          <w:szCs w:val="24"/>
        </w:rPr>
      </w:pPr>
      <w:r w:rsidRPr="005E72CE">
        <w:rPr>
          <w:rFonts w:ascii="Times New Roman" w:hAnsi="Times New Roman" w:cs="Times New Roman"/>
          <w:b/>
          <w:sz w:val="24"/>
          <w:szCs w:val="24"/>
        </w:rPr>
        <w:t>Sera coupable de trahison</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et puni de mort tout</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sénégalais qui:</w:t>
      </w:r>
    </w:p>
    <w:p w:rsidR="00B6204E" w:rsidRPr="005E72CE" w:rsidRDefault="00B6204E" w:rsidP="0098524B">
      <w:pPr>
        <w:spacing w:line="360" w:lineRule="auto"/>
        <w:jc w:val="both"/>
        <w:rPr>
          <w:rFonts w:ascii="Times New Roman" w:hAnsi="Times New Roman" w:cs="Times New Roman"/>
          <w:b/>
          <w:sz w:val="24"/>
          <w:szCs w:val="24"/>
        </w:rPr>
      </w:pPr>
      <w:r w:rsidRPr="005E72CE">
        <w:rPr>
          <w:rFonts w:ascii="Times New Roman" w:hAnsi="Times New Roman" w:cs="Times New Roman"/>
          <w:b/>
          <w:sz w:val="24"/>
          <w:szCs w:val="24"/>
        </w:rPr>
        <w:t>1) Livrera à une</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puissance étrangère ou à ses</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agents, sous quelque forme</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et par quelque moyen que ce</w:t>
      </w:r>
      <w:r w:rsidR="00BF7EB8" w:rsidRPr="005E72CE">
        <w:rPr>
          <w:rFonts w:ascii="Times New Roman" w:hAnsi="Times New Roman" w:cs="Times New Roman"/>
          <w:b/>
          <w:sz w:val="24"/>
          <w:szCs w:val="24"/>
        </w:rPr>
        <w:t xml:space="preserve"> </w:t>
      </w:r>
      <w:r w:rsidR="00E56124" w:rsidRPr="005E72CE">
        <w:rPr>
          <w:rFonts w:ascii="Times New Roman" w:hAnsi="Times New Roman" w:cs="Times New Roman"/>
          <w:b/>
          <w:sz w:val="24"/>
          <w:szCs w:val="24"/>
        </w:rPr>
        <w:t>soit, un renseigne</w:t>
      </w:r>
      <w:r w:rsidRPr="005E72CE">
        <w:rPr>
          <w:rFonts w:ascii="Times New Roman" w:hAnsi="Times New Roman" w:cs="Times New Roman"/>
          <w:b/>
          <w:sz w:val="24"/>
          <w:szCs w:val="24"/>
        </w:rPr>
        <w:t>ment,</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objet, document ou procédé</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qui doit être tenu secret dans</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l'intérêt de la défense</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nationale;</w:t>
      </w:r>
    </w:p>
    <w:p w:rsidR="00B6204E" w:rsidRPr="005E72CE" w:rsidRDefault="00B6204E" w:rsidP="0098524B">
      <w:pPr>
        <w:spacing w:line="360" w:lineRule="auto"/>
        <w:jc w:val="both"/>
        <w:rPr>
          <w:rFonts w:ascii="Times New Roman" w:hAnsi="Times New Roman" w:cs="Times New Roman"/>
          <w:b/>
          <w:sz w:val="24"/>
          <w:szCs w:val="24"/>
        </w:rPr>
      </w:pPr>
      <w:r w:rsidRPr="005E72CE">
        <w:rPr>
          <w:rFonts w:ascii="Times New Roman" w:hAnsi="Times New Roman" w:cs="Times New Roman"/>
          <w:b/>
          <w:sz w:val="24"/>
          <w:szCs w:val="24"/>
        </w:rPr>
        <w:t>2) S'assurera, par</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quelque moyen que ce soit, la</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possession d'un tel renseignement,</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objet, document ou</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procédé en vue de le délivrer</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à une puissance étrangère ou</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à ses agents;</w:t>
      </w:r>
    </w:p>
    <w:p w:rsidR="00B6204E" w:rsidRPr="005E72CE" w:rsidRDefault="00B6204E" w:rsidP="0098524B">
      <w:pPr>
        <w:spacing w:line="360" w:lineRule="auto"/>
        <w:jc w:val="both"/>
        <w:rPr>
          <w:rFonts w:ascii="Times New Roman" w:hAnsi="Times New Roman" w:cs="Times New Roman"/>
          <w:b/>
          <w:sz w:val="24"/>
          <w:szCs w:val="24"/>
        </w:rPr>
      </w:pPr>
      <w:r w:rsidRPr="005E72CE">
        <w:rPr>
          <w:rFonts w:ascii="Times New Roman" w:hAnsi="Times New Roman" w:cs="Times New Roman"/>
          <w:b/>
          <w:sz w:val="24"/>
          <w:szCs w:val="24"/>
        </w:rPr>
        <w:lastRenderedPageBreak/>
        <w:t>3) Détruira ou laissera</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détruire un tel renseignement,</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objet, document ou procédé</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en vue de favoriser une</w:t>
      </w:r>
      <w:r w:rsidR="00BF7EB8" w:rsidRPr="005E72CE">
        <w:rPr>
          <w:rFonts w:ascii="Times New Roman" w:hAnsi="Times New Roman" w:cs="Times New Roman"/>
          <w:b/>
          <w:sz w:val="24"/>
          <w:szCs w:val="24"/>
        </w:rPr>
        <w:t xml:space="preserve"> </w:t>
      </w:r>
      <w:r w:rsidRPr="005E72CE">
        <w:rPr>
          <w:rFonts w:ascii="Times New Roman" w:hAnsi="Times New Roman" w:cs="Times New Roman"/>
          <w:b/>
          <w:sz w:val="24"/>
          <w:szCs w:val="24"/>
        </w:rPr>
        <w:t>puissance étrangère.</w:t>
      </w:r>
    </w:p>
    <w:p w:rsidR="00763CFA" w:rsidRPr="00763CFA" w:rsidRDefault="00763CFA" w:rsidP="0098524B">
      <w:pPr>
        <w:pStyle w:val="Paragraphedeliste"/>
        <w:numPr>
          <w:ilvl w:val="0"/>
          <w:numId w:val="3"/>
        </w:numPr>
        <w:spacing w:line="360" w:lineRule="auto"/>
        <w:jc w:val="both"/>
        <w:rPr>
          <w:rFonts w:ascii="Times New Roman" w:hAnsi="Times New Roman" w:cs="Times New Roman"/>
          <w:i/>
          <w:sz w:val="24"/>
          <w:szCs w:val="24"/>
        </w:rPr>
      </w:pPr>
      <w:r w:rsidRPr="00BE2175">
        <w:rPr>
          <w:rFonts w:ascii="Times New Roman" w:hAnsi="Times New Roman" w:cs="Times New Roman"/>
          <w:b/>
          <w:i/>
          <w:sz w:val="24"/>
          <w:szCs w:val="24"/>
          <w:u w:val="single"/>
        </w:rPr>
        <w:t>Commentaire</w:t>
      </w:r>
      <w:r>
        <w:rPr>
          <w:rFonts w:ascii="Times New Roman" w:hAnsi="Times New Roman" w:cs="Times New Roman"/>
          <w:i/>
          <w:sz w:val="24"/>
          <w:szCs w:val="24"/>
        </w:rPr>
        <w:t xml:space="preserve"> : la peine de mort abolie par la  loi n° 2004-38 du 28 décembre 2004 est remplacée par la peine des travaux forcés à perpétuité par la loi n° 2007-01 du 12 février 2007. </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59</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Sera coupable d'espionnage</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et puni de mort, tout</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étranger qui commettra l'un</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des actes visés à l'article 56-</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20, 56-3' 56-4'; à l'article 57 et</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à l'article 58.</w:t>
      </w:r>
    </w:p>
    <w:p w:rsidR="00B6204E" w:rsidRPr="00BE2175" w:rsidRDefault="00B6204E" w:rsidP="0098524B">
      <w:pPr>
        <w:spacing w:line="360" w:lineRule="auto"/>
        <w:jc w:val="both"/>
        <w:rPr>
          <w:rFonts w:ascii="Times New Roman" w:hAnsi="Times New Roman" w:cs="Times New Roman"/>
          <w:b/>
          <w:sz w:val="24"/>
          <w:szCs w:val="24"/>
        </w:rPr>
      </w:pPr>
      <w:r w:rsidRPr="00BE2175">
        <w:rPr>
          <w:rFonts w:ascii="Times New Roman" w:hAnsi="Times New Roman" w:cs="Times New Roman"/>
          <w:b/>
          <w:sz w:val="24"/>
          <w:szCs w:val="24"/>
        </w:rPr>
        <w:t>La provocation à</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commettre ou l'offre de</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commettre un des crimes</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visés aux articles 56, 57 et 58</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et au présent article sera</w:t>
      </w:r>
      <w:r w:rsidR="00BF7EB8" w:rsidRPr="00BE2175">
        <w:rPr>
          <w:rFonts w:ascii="Times New Roman" w:hAnsi="Times New Roman" w:cs="Times New Roman"/>
          <w:b/>
          <w:sz w:val="24"/>
          <w:szCs w:val="24"/>
        </w:rPr>
        <w:t xml:space="preserve"> </w:t>
      </w:r>
      <w:r w:rsidRPr="00BE2175">
        <w:rPr>
          <w:rFonts w:ascii="Times New Roman" w:hAnsi="Times New Roman" w:cs="Times New Roman"/>
          <w:b/>
          <w:sz w:val="24"/>
          <w:szCs w:val="24"/>
        </w:rPr>
        <w:t>punie comme le crime même.</w:t>
      </w:r>
    </w:p>
    <w:p w:rsidR="00531483" w:rsidRPr="00531483" w:rsidRDefault="00531483" w:rsidP="0098524B">
      <w:pPr>
        <w:pStyle w:val="Paragraphedeliste"/>
        <w:numPr>
          <w:ilvl w:val="0"/>
          <w:numId w:val="3"/>
        </w:numPr>
        <w:spacing w:line="360" w:lineRule="auto"/>
        <w:jc w:val="both"/>
        <w:rPr>
          <w:rFonts w:ascii="Times New Roman" w:hAnsi="Times New Roman" w:cs="Times New Roman"/>
          <w:i/>
          <w:sz w:val="24"/>
          <w:szCs w:val="24"/>
        </w:rPr>
      </w:pPr>
      <w:r w:rsidRPr="00BE2175">
        <w:rPr>
          <w:rFonts w:ascii="Times New Roman" w:hAnsi="Times New Roman" w:cs="Times New Roman"/>
          <w:b/>
          <w:i/>
          <w:sz w:val="24"/>
          <w:szCs w:val="24"/>
          <w:u w:val="single"/>
        </w:rPr>
        <w:t>Commentaire</w:t>
      </w:r>
      <w:r w:rsidRPr="00BE2175">
        <w:rPr>
          <w:rFonts w:ascii="Times New Roman" w:hAnsi="Times New Roman" w:cs="Times New Roman"/>
          <w:b/>
          <w:i/>
          <w:sz w:val="24"/>
          <w:szCs w:val="24"/>
        </w:rPr>
        <w:t> :</w:t>
      </w:r>
      <w:r>
        <w:rPr>
          <w:rFonts w:ascii="Times New Roman" w:hAnsi="Times New Roman" w:cs="Times New Roman"/>
          <w:i/>
          <w:sz w:val="24"/>
          <w:szCs w:val="24"/>
        </w:rPr>
        <w:t xml:space="preserve"> la peine de mort abolie par la  loi n° 2004-38 du 28 décembre 2004 est remplacée par la peine des travaux forcés à perpétuité par la loi n° 2007-01 du 12 février 2007. </w:t>
      </w:r>
    </w:p>
    <w:p w:rsidR="000115D8" w:rsidRDefault="003C745A" w:rsidP="0098524B">
      <w:pPr>
        <w:spacing w:line="360" w:lineRule="auto"/>
        <w:jc w:val="both"/>
        <w:rPr>
          <w:rFonts w:ascii="Times New Roman" w:hAnsi="Times New Roman" w:cs="Times New Roman"/>
          <w:b/>
          <w:color w:val="000000" w:themeColor="text1"/>
          <w:sz w:val="24"/>
          <w:szCs w:val="24"/>
        </w:rPr>
      </w:pPr>
      <w:r w:rsidRPr="00834D5F">
        <w:rPr>
          <w:rFonts w:ascii="Times New Roman" w:hAnsi="Times New Roman" w:cs="Times New Roman"/>
          <w:b/>
          <w:color w:val="000000" w:themeColor="text1"/>
          <w:sz w:val="24"/>
          <w:szCs w:val="24"/>
        </w:rPr>
        <w:t>DOCTRINE</w:t>
      </w:r>
      <w:r w:rsidR="003B53C5">
        <w:rPr>
          <w:rFonts w:ascii="Times New Roman" w:hAnsi="Times New Roman" w:cs="Times New Roman"/>
          <w:b/>
          <w:color w:val="000000" w:themeColor="text1"/>
          <w:sz w:val="24"/>
          <w:szCs w:val="24"/>
        </w:rPr>
        <w:t xml:space="preserve"> </w:t>
      </w:r>
    </w:p>
    <w:p w:rsidR="00143704" w:rsidRPr="00D5084E" w:rsidRDefault="00143704" w:rsidP="00143704">
      <w:pPr>
        <w:pStyle w:val="CORPUSany"/>
        <w:spacing w:after="225" w:line="360" w:lineRule="auto"/>
        <w:rPr>
          <w:rFonts w:ascii="Times New Roman" w:hAnsi="Times New Roman" w:cs="Times New Roman"/>
          <w:b/>
          <w:bCs/>
          <w:i/>
        </w:rPr>
      </w:pPr>
      <w:r w:rsidRPr="00143704">
        <w:rPr>
          <w:rFonts w:ascii="Times New Roman" w:hAnsi="Times New Roman" w:cs="Times New Roman"/>
          <w:b/>
          <w:bCs/>
        </w:rPr>
        <w:t xml:space="preserve">- </w:t>
      </w:r>
      <w:r w:rsidRPr="00D5084E">
        <w:rPr>
          <w:rStyle w:val="TITRETIT-INTT"/>
          <w:rFonts w:ascii="Times New Roman" w:hAnsi="Times New Roman" w:cs="Times New Roman"/>
          <w:i/>
        </w:rPr>
        <w:t>Actes constitutifs de la trahison et de l'espionnage</w:t>
      </w:r>
    </w:p>
    <w:p w:rsidR="00143704" w:rsidRPr="00D5084E" w:rsidRDefault="00143704" w:rsidP="00143704">
      <w:pPr>
        <w:pStyle w:val="NIV5TITRE"/>
        <w:spacing w:before="150" w:after="150" w:line="360" w:lineRule="auto"/>
        <w:jc w:val="both"/>
        <w:rPr>
          <w:rFonts w:eastAsia="Verdana"/>
          <w:b/>
          <w:bCs/>
          <w:i/>
          <w:color w:val="1B1B1B"/>
        </w:rPr>
      </w:pPr>
      <w:r w:rsidRPr="00D5084E">
        <w:rPr>
          <w:rStyle w:val="NIV5TITRETIT-NUM"/>
          <w:rFonts w:eastAsia="Verdana"/>
          <w:b/>
          <w:bCs/>
          <w:i/>
          <w:color w:val="1B1B1B"/>
          <w:sz w:val="24"/>
          <w:szCs w:val="24"/>
        </w:rPr>
        <w:t xml:space="preserve"> </w:t>
      </w:r>
      <w:r w:rsidRPr="00D5084E">
        <w:rPr>
          <w:rFonts w:eastAsia="Verdana"/>
          <w:b/>
          <w:bCs/>
          <w:i/>
          <w:color w:val="1B1B1B"/>
        </w:rPr>
        <w:t xml:space="preserve">- </w:t>
      </w:r>
      <w:r w:rsidRPr="00D5084E">
        <w:rPr>
          <w:rStyle w:val="NIV5TITRETIT-INTT"/>
          <w:rFonts w:eastAsia="Verdana"/>
          <w:b/>
          <w:bCs/>
          <w:i/>
          <w:color w:val="1B1B1B"/>
          <w:sz w:val="24"/>
          <w:szCs w:val="24"/>
        </w:rPr>
        <w:t>Actes matériels</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38. </w:t>
      </w:r>
      <w:r w:rsidRPr="00D5084E">
        <w:rPr>
          <w:rFonts w:ascii="Times New Roman" w:hAnsi="Times New Roman" w:cs="Times New Roman"/>
          <w:i/>
        </w:rPr>
        <w:t>Les actes matériels constitutifs de la trahison et de l'espionnage sont définis aux articles 411-2 à 411-11 du code pénal. Ces articles reprennent les dispositions des articles 70 à 74 de l'ancien code pénal. Toutefois, il convient de signaler que l'incrimination relative au port d'armes d'un Français contre son propre pays est désormais intégrée au code de justice militaire. En effet, son article L. 331-2 dispose que « le fait, en temps de guerre, par tout Français ou tout militaire au service de la France, de porter les armes contre la France constitue un acte de trahison […] ». Dans le même temps, l'article 410-10 enrichit les dispositions précédentes d'une section relative à la fourniture, aux autorités civiles ou militaires françaises, de fausses informations.</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39. </w:t>
      </w:r>
      <w:r w:rsidRPr="00D5084E">
        <w:rPr>
          <w:rFonts w:ascii="Times New Roman" w:hAnsi="Times New Roman" w:cs="Times New Roman"/>
          <w:i/>
        </w:rPr>
        <w:t>En définitive, l'élément matériel de l'espionnage et de la trahison est constitué par un des six agissements énumérés au chapitre I</w:t>
      </w:r>
      <w:r w:rsidRPr="00D5084E">
        <w:rPr>
          <w:rStyle w:val="CORPUSanyCharacter"/>
          <w:rFonts w:ascii="Times New Roman" w:hAnsi="Times New Roman" w:cs="Times New Roman"/>
          <w:i/>
          <w:vertAlign w:val="superscript"/>
        </w:rPr>
        <w:t>er</w:t>
      </w:r>
      <w:r w:rsidRPr="00D5084E">
        <w:rPr>
          <w:rFonts w:ascii="Times New Roman" w:hAnsi="Times New Roman" w:cs="Times New Roman"/>
          <w:i/>
        </w:rPr>
        <w:t xml:space="preserve"> du titre I</w:t>
      </w:r>
      <w:r w:rsidRPr="00D5084E">
        <w:rPr>
          <w:rStyle w:val="CORPUSanyCharacter"/>
          <w:rFonts w:ascii="Times New Roman" w:hAnsi="Times New Roman" w:cs="Times New Roman"/>
          <w:i/>
          <w:vertAlign w:val="superscript"/>
        </w:rPr>
        <w:t>er</w:t>
      </w:r>
      <w:r w:rsidRPr="00D5084E">
        <w:rPr>
          <w:rFonts w:ascii="Times New Roman" w:hAnsi="Times New Roman" w:cs="Times New Roman"/>
          <w:i/>
        </w:rPr>
        <w:t xml:space="preserve"> du livre IV</w:t>
      </w:r>
      <w:r w:rsidRPr="00D5084E">
        <w:rPr>
          <w:rStyle w:val="CORPUSanyCharacter"/>
          <w:rFonts w:ascii="Times New Roman" w:hAnsi="Times New Roman" w:cs="Times New Roman"/>
          <w:i/>
          <w:vertAlign w:val="superscript"/>
        </w:rPr>
        <w:t>e</w:t>
      </w:r>
      <w:r w:rsidRPr="00D5084E">
        <w:rPr>
          <w:rFonts w:ascii="Times New Roman" w:hAnsi="Times New Roman" w:cs="Times New Roman"/>
          <w:i/>
        </w:rPr>
        <w:t xml:space="preserve"> du code pénal : la livraison de tout ou partie du territoire national, de forces armées ou de matériel à une puissance étrangère, les intelligences avec une puissance publique, la livraison d'informations à une </w:t>
      </w:r>
      <w:r w:rsidRPr="00D5084E">
        <w:rPr>
          <w:rFonts w:ascii="Times New Roman" w:hAnsi="Times New Roman" w:cs="Times New Roman"/>
          <w:i/>
        </w:rPr>
        <w:lastRenderedPageBreak/>
        <w:t>puissance étrangère, le sabotage, la fourniture de fausses informations et la provocation aux crimes de trahison et d'espionnage.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NIV6TITRETIT-NUM"/>
          <w:rFonts w:ascii="Times New Roman" w:hAnsi="Times New Roman" w:cs="Times New Roman"/>
          <w:i/>
          <w:sz w:val="24"/>
          <w:szCs w:val="24"/>
        </w:rPr>
        <w:t xml:space="preserve"> </w:t>
      </w:r>
      <w:r w:rsidRPr="00D5084E">
        <w:rPr>
          <w:rFonts w:ascii="Times New Roman" w:hAnsi="Times New Roman" w:cs="Times New Roman"/>
          <w:b/>
          <w:bCs/>
          <w:i/>
        </w:rPr>
        <w:t xml:space="preserve">- </w:t>
      </w:r>
      <w:r w:rsidRPr="00D5084E">
        <w:rPr>
          <w:rStyle w:val="NIV6TITRETIT-INTT"/>
          <w:rFonts w:ascii="Times New Roman" w:hAnsi="Times New Roman" w:cs="Times New Roman"/>
          <w:i/>
          <w:sz w:val="24"/>
          <w:szCs w:val="24"/>
        </w:rPr>
        <w:t>Livraison de tout ou partie du territoire national, de forces armées ou de matériel à une puissance étrangère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40. </w:t>
      </w:r>
      <w:r w:rsidRPr="00D5084E">
        <w:rPr>
          <w:rFonts w:ascii="Times New Roman" w:hAnsi="Times New Roman" w:cs="Times New Roman"/>
          <w:i/>
        </w:rPr>
        <w:t>Les enjeux liés à la livraison d'éléments du potentiel militaire français à une puissance étrangère ont toujours suscité une attention particulière du législateur. Aussi, cette incrimination figurait dans les versions précédentes du code pénal, singulièrement à l'article 70-3</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de l'ancien code. Ce dernier visait alors la livraison « des territoires, villes, forteresses, ouvrages, postes, magasins, arsenaux, matériels, munitions, vaisseaux, bâtiments ou appareils de navigation aérienne, appartenant à la France ou affectés à sa défense ».</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41. </w:t>
      </w:r>
      <w:r w:rsidRPr="00D5084E">
        <w:rPr>
          <w:rFonts w:ascii="Times New Roman" w:hAnsi="Times New Roman" w:cs="Times New Roman"/>
          <w:i/>
        </w:rPr>
        <w:t>Les articles 411-2 et 411-3 du code pénal proposent une approche nouvelle en tenant compte de la nature des agissements qui compromettent la sécurité et l'indépendance du pays. À ce titre, la protection des troupes et du territoire reçoit un traitement différencié de celle du matériel. Ainsi, l'article 411-2 réprime « le fait de livrer à une puissance étrangère […] soit des troupes appartenant aux forces armées françaises, soit tout ou partie du territoire national » en appliquant des pénalités plus lourdes que celles prévues pour la livraison de « matériels […] affectés à la défense nationale ».</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42. </w:t>
      </w:r>
      <w:r w:rsidRPr="00D5084E">
        <w:rPr>
          <w:rFonts w:ascii="Times New Roman" w:hAnsi="Times New Roman" w:cs="Times New Roman"/>
          <w:i/>
        </w:rPr>
        <w:t>Cette livraison de matériels relève des dispositions de l'article 411-3 et s'applique aux biens, mobiliers et immobiliers, dont une énumération limitative est donnée. Toutefois, cette liste est abondante en visant non seulement les matériels mais aussi les « constructions, équipements, installations, appareils affectés à la défense nationale ». L'article 70-3</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de l'ancien code pénal précisait que ces biens appartenaient à la France ou étaient affectés à sa défense. Ce lien avec la défense confère une protection aux biens appartenant à l'État, à des particuliers ou à des États alliés, en référence notamment aux puissances unies au sein de l'Organisation du traité de l'Atlantique Nord. À cette fin, l'article 414-8 du code pénal étend les dispositions des articles 411-1 à 411-11 « aux actes […] qui seraient commis au préjudice des puissances signataires du traité de l'Atlantique Nord ».</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43. </w:t>
      </w:r>
      <w:r w:rsidRPr="00D5084E">
        <w:rPr>
          <w:rFonts w:ascii="Times New Roman" w:hAnsi="Times New Roman" w:cs="Times New Roman"/>
          <w:i/>
        </w:rPr>
        <w:t xml:space="preserve">Les livraisons visées à l'article 411-2 sont réalisées au profit d'une puissance étrangère, d'une organisation étrangère ou sous contrôle étranger ou de leurs agents. L'article 411-3 complète « cette liste de bénéficiaires » en prévoyant la livraison « à une entreprise » étrangère de matériels ou équipements affectés à la défense nationale. Les notions de trahison </w:t>
      </w:r>
      <w:r w:rsidRPr="00D5084E">
        <w:rPr>
          <w:rFonts w:ascii="Times New Roman" w:hAnsi="Times New Roman" w:cs="Times New Roman"/>
          <w:i/>
        </w:rPr>
        <w:lastRenderedPageBreak/>
        <w:t>et d'espionnage s'inscrivent ensuite dans la perspective d'intelligences avec une puissance étrangère.</w:t>
      </w:r>
    </w:p>
    <w:p w:rsidR="00143704" w:rsidRPr="00D5084E" w:rsidRDefault="00143704" w:rsidP="00143704">
      <w:pPr>
        <w:pStyle w:val="NIV6TITRE"/>
        <w:spacing w:before="75" w:after="30" w:line="360" w:lineRule="auto"/>
        <w:jc w:val="both"/>
        <w:rPr>
          <w:rFonts w:eastAsia="Verdana"/>
          <w:b/>
          <w:bCs/>
          <w:i/>
          <w:color w:val="1B1B1B"/>
        </w:rPr>
      </w:pPr>
      <w:r w:rsidRPr="00D5084E">
        <w:rPr>
          <w:rFonts w:eastAsia="Verdana"/>
          <w:b/>
          <w:bCs/>
          <w:i/>
          <w:color w:val="1B1B1B"/>
        </w:rPr>
        <w:t xml:space="preserve"> - </w:t>
      </w:r>
      <w:r w:rsidRPr="00D5084E">
        <w:rPr>
          <w:rStyle w:val="NIV6TITRETIT-INTT"/>
          <w:rFonts w:eastAsia="Verdana"/>
          <w:i/>
          <w:color w:val="1B1B1B"/>
          <w:sz w:val="24"/>
          <w:szCs w:val="24"/>
        </w:rPr>
        <w:t>Intelligences avec une puissance étrangère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44. </w:t>
      </w:r>
      <w:r w:rsidRPr="00D5084E">
        <w:rPr>
          <w:rFonts w:ascii="Times New Roman" w:hAnsi="Times New Roman" w:cs="Times New Roman"/>
          <w:i/>
        </w:rPr>
        <w:t>Cette référence est également directement inspirée des textes antérieurs. Issue des articles primitifs du code pénal de 1810, elle apparaît dans l'ancien code aux articles 70-2</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et 80-3</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La circulaire du 14 mai 1993 commentant les dispositions de la partie législative du nouveau code rappelle que la notion d'intelligences n'est pas définie et précise qu'en conséquence, « la jurisprudence ayant interprété les textes actuels conserve donc toute sa valeur ». L'article 411-4 du code pénal actualise tout d'abord les éléments précédemment inscrits à l'article 70-2</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en les intégrant au sein de deux alinéas. Le premier d'entre eux concerne des intelligences dont l'objectif est « de susciter des hostilités ou des actes d'agression contre la France ». Le second porte sur « le fait de fournir à une puissance étrangère […] les moyens d'entreprendre » ces mêmes hostilités ou actes d'agression. Tirant son origine de l'article 80-3</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de l'ancien code, l'article 411-5 vise le cas d'intelligences avec une puissance étrangère « de nature à porter atteinte aux intérêts fondamentaux de la nation ».</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45. </w:t>
      </w:r>
      <w:r w:rsidRPr="00D5084E">
        <w:rPr>
          <w:rFonts w:ascii="Times New Roman" w:hAnsi="Times New Roman" w:cs="Times New Roman"/>
          <w:i/>
        </w:rPr>
        <w:t>L'article 411-4 associe initialement les intelligences avec une puissance étrangère au risque d'engagement d'hostilités, correspondant à des actes de guerre entrepris à la suite ou non d'une déclaration de guerre. Ces intelligences peuvent également engendrer des « actes d'agression ». Cette dernière notion trouve une traduction multiple comme l'arraisonnement non justifié d'un navire, la destruction en vol d'un aéronef civil, l'attaque d'un poste frontière… L'histoire comporte de nombreux exemples de ces situations parfois suscitées en « sous-main » par des contacts pris entre une puissance étrangère ou ses agents et des nationaux d'un autre État. Ces contacts sont ici désignés d'intelligences avec une puissance étrangère.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46. </w:t>
      </w:r>
      <w:r w:rsidRPr="00D5084E">
        <w:rPr>
          <w:rFonts w:ascii="Times New Roman" w:hAnsi="Times New Roman" w:cs="Times New Roman"/>
          <w:i/>
        </w:rPr>
        <w:t xml:space="preserve">En l'absence de définition spécifique, le terme d'« intelligences » se comprend par son rattachement à des faits matériels, répondant le plus souvent à la clandestinité et à la répétition d'efforts qu'un agent étranger peut entreprendre auprès d'un ressortissant français en vue d'obtenir les objectifs exposés </w:t>
      </w:r>
      <w:r w:rsidRPr="00D5084E">
        <w:rPr>
          <w:rStyle w:val="CORPUSanyCharacter"/>
          <w:rFonts w:ascii="Times New Roman" w:hAnsi="Times New Roman" w:cs="Times New Roman"/>
          <w:i/>
          <w:iCs/>
        </w:rPr>
        <w:t>supra.</w:t>
      </w:r>
      <w:r w:rsidRPr="00D5084E">
        <w:rPr>
          <w:rFonts w:ascii="Times New Roman" w:hAnsi="Times New Roman" w:cs="Times New Roman"/>
          <w:i/>
        </w:rPr>
        <w:t xml:space="preserve"> Cette expression employée au pluriel admet toutefois qu'un seul acte puisse caractériser cette infraction (Crim. 20 févr. 1920, Bull. crim. n</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90). En outre, la jurisprudence a également considéré (Crim. 24 mai 1917, Bull. crim. n</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135), que le crime de trahison par intelligences avec une puissance étrangère pouvait naître de relations commerciales de nature non-clandestine.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lastRenderedPageBreak/>
        <w:t>47. </w:t>
      </w:r>
      <w:r w:rsidRPr="00D5084E">
        <w:rPr>
          <w:rFonts w:ascii="Times New Roman" w:hAnsi="Times New Roman" w:cs="Times New Roman"/>
          <w:i/>
        </w:rPr>
        <w:t>À la différence de l'incrimination définie à l'alinéa premier de l'article 411-4, celle décrite à l'alinéa 2 du même article ne fait pas référence aux intelligences mais à la fourniture de moyens au profit d'une puissance étrangère. Cependant, la menace reste identique, celle que des hostilités soient entreprises ou des actes d'agression accomplis contre la France. Les moyens susvisés ne sont plus précisés par le législateur comme ils pouvaient l'être dans l'ancien code. L'article 70-2</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mentionnait alors que ces moyens étaient de nature soit à faciliter la pénétration de forces étrangères sur le territoire français, soit à ébranler la fidélité des armées de terre, de mer ou de l'air, soit de toute autre manière.</w:t>
      </w:r>
    </w:p>
    <w:p w:rsidR="00143704" w:rsidRPr="00D5084E" w:rsidRDefault="00143704" w:rsidP="00143704">
      <w:pPr>
        <w:pStyle w:val="CORPUSany"/>
        <w:spacing w:after="180" w:line="360" w:lineRule="auto"/>
        <w:rPr>
          <w:rFonts w:ascii="Times New Roman" w:hAnsi="Times New Roman" w:cs="Times New Roman"/>
          <w:i/>
        </w:rPr>
      </w:pPr>
      <w:r w:rsidRPr="00D5084E">
        <w:rPr>
          <w:rFonts w:ascii="Times New Roman" w:hAnsi="Times New Roman" w:cs="Times New Roman"/>
          <w:i/>
        </w:rPr>
        <w:t>L'article 411-5 du code pénal complète enfin ces dispositions en reproduisant l'incrimination prévue à l'article 80-3</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de l'ancien code.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48. </w:t>
      </w:r>
      <w:r w:rsidRPr="00D5084E">
        <w:rPr>
          <w:rFonts w:ascii="Times New Roman" w:hAnsi="Times New Roman" w:cs="Times New Roman"/>
          <w:i/>
        </w:rPr>
        <w:t>L'article 411-5 vise ainsi le cas d'intelligences avec une puissance étrangère « de nature à porter atteinte aux intérêts fondamentaux de la nation ». Cette rédaction confirme que les contacts établis avec des agents étrangers ne supposent pas nécessairement qu'ils aient porté préjudice à ces intérêts. En ce sens, la chambre criminelle de la Cour de cassation, dans un arrêt du 23 mars 1982, souligne que les rapports d'un informaticien de haut niveau avec des agents de renseignements d'un pays étranger « étaient de nature, indépendamment de tout résultat positif, à porter atteinte à la situation militaire ou diplomatique de la France ou à ses intérêts économiques essentiels ». Cette jurisprudence s'applique ainsi à un ingénieur ayant fourni, à un agent d'une puissance étrangère, « des renseignements portant sur des matériels destinés à des usages tant civils que militaires et dont l'exportation était soumise à autorisation ou interdite » (Crim. 12 févr. 1985, Bull. crim. n</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70, Gaz. Pal. 1985. 2. Somm. 222, note Doucet, RSC 1985. 802, obs. Delmas Saint-Hilaire.).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49. </w:t>
      </w:r>
      <w:r w:rsidRPr="00D5084E">
        <w:rPr>
          <w:rFonts w:ascii="Times New Roman" w:hAnsi="Times New Roman" w:cs="Times New Roman"/>
          <w:i/>
        </w:rPr>
        <w:t>Les conditions de mise en œuvre de l'article 411-5 n'impliquent pas que la volonté de servir les intérêts d'une puissance étrangère soit requise comme élément constitutif de l'infraction. Cette forme de trahison ou d'espionnage s'appréhende finalement indistinctement de la nature intentionnelle ou pas de l'infraction. Cette considération est parfois interprétée comme une entorse au principe de l'</w:t>
      </w:r>
      <w:r w:rsidRPr="00D5084E">
        <w:rPr>
          <w:rStyle w:val="CORPUSanyCharacter"/>
          <w:rFonts w:ascii="Times New Roman" w:hAnsi="Times New Roman" w:cs="Times New Roman"/>
          <w:i/>
          <w:iCs/>
        </w:rPr>
        <w:t>animus hostilis.</w:t>
      </w:r>
    </w:p>
    <w:p w:rsidR="00143704" w:rsidRDefault="00143704" w:rsidP="00143704">
      <w:pPr>
        <w:pStyle w:val="CORPUSany"/>
        <w:spacing w:after="180" w:line="360" w:lineRule="auto"/>
        <w:rPr>
          <w:rFonts w:ascii="Times New Roman" w:hAnsi="Times New Roman" w:cs="Times New Roman"/>
          <w:i/>
        </w:rPr>
      </w:pPr>
      <w:r w:rsidRPr="00D5084E">
        <w:rPr>
          <w:rFonts w:ascii="Times New Roman" w:hAnsi="Times New Roman" w:cs="Times New Roman"/>
          <w:i/>
        </w:rPr>
        <w:t>Enfin, la référence aux intérêts fondamentaux de la nation renvoie à l'article introductif 410-1 du code pénal. Au titre des éléments matériels de la trahison et de l'espionnage, il convient par ailleurs de présenter la livraison d'informations à une puissance étrangère.</w:t>
      </w:r>
    </w:p>
    <w:p w:rsidR="00FF44E5" w:rsidRPr="00D5084E" w:rsidRDefault="00FF44E5" w:rsidP="00143704">
      <w:pPr>
        <w:pStyle w:val="CORPUSany"/>
        <w:spacing w:after="180" w:line="360" w:lineRule="auto"/>
        <w:rPr>
          <w:rFonts w:ascii="Times New Roman" w:hAnsi="Times New Roman" w:cs="Times New Roman"/>
          <w:i/>
        </w:rPr>
      </w:pPr>
    </w:p>
    <w:p w:rsidR="00143704" w:rsidRPr="00D5084E" w:rsidRDefault="00143704" w:rsidP="00143704">
      <w:pPr>
        <w:pStyle w:val="NIV6TITRE"/>
        <w:spacing w:before="75" w:after="30" w:line="360" w:lineRule="auto"/>
        <w:jc w:val="both"/>
        <w:rPr>
          <w:rFonts w:eastAsia="Verdana"/>
          <w:b/>
          <w:bCs/>
          <w:i/>
          <w:color w:val="1B1B1B"/>
        </w:rPr>
      </w:pPr>
      <w:r w:rsidRPr="00D5084E">
        <w:rPr>
          <w:rFonts w:eastAsia="Verdana"/>
          <w:b/>
          <w:bCs/>
          <w:i/>
          <w:color w:val="1B1B1B"/>
        </w:rPr>
        <w:lastRenderedPageBreak/>
        <w:t xml:space="preserve"> - </w:t>
      </w:r>
      <w:r w:rsidRPr="00D5084E">
        <w:rPr>
          <w:rStyle w:val="NIV6TITRETIT-INTT"/>
          <w:rFonts w:eastAsia="Verdana"/>
          <w:i/>
          <w:color w:val="1B1B1B"/>
          <w:sz w:val="24"/>
          <w:szCs w:val="24"/>
        </w:rPr>
        <w:t>Livraison d'informations à une puissance étrangère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50. </w:t>
      </w:r>
      <w:r w:rsidRPr="00D5084E">
        <w:rPr>
          <w:rFonts w:ascii="Times New Roman" w:hAnsi="Times New Roman" w:cs="Times New Roman"/>
          <w:i/>
        </w:rPr>
        <w:t>Les comportements liés aux infractions réprimées aux articles 411-6 à 411-8 du code pénal correspondent à l'image la plus souvent véhiculée de la trahison et de l'espionnage. En effet, ils se concrétisent par le recueil, la livraison de renseignements ainsi que l'exercice d'une activité favorisant ces objectifs. Les incriminations des articles 411-6 et 411-7 trouvent leur origine dans diverses références de l'ancien code (art. 72-1</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et 2</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74 et 77). Si les articles 411-6 et 411-7 s'apparentent l'un à l'autre, ils affirment néanmoins une progression, à la fois chronologique et répressive. En effet, l'article 411-7 traite en délit « le fait de recueillir ou de rassembler des renseignements » alors que l'article 411-6 regarde comme un crime « le fait de livrer ou de rendre accessibles » ces mêmes renseignements. L'article 411-8 ne reprend, en revanche, aucune disposition antérieure. Cette création </w:t>
      </w:r>
      <w:r w:rsidRPr="00D5084E">
        <w:rPr>
          <w:rStyle w:val="CORPUSanyCharacter"/>
          <w:rFonts w:ascii="Times New Roman" w:hAnsi="Times New Roman" w:cs="Times New Roman"/>
          <w:i/>
          <w:iCs/>
        </w:rPr>
        <w:t>ex nihilo</w:t>
      </w:r>
      <w:r w:rsidRPr="00D5084E">
        <w:rPr>
          <w:rFonts w:ascii="Times New Roman" w:hAnsi="Times New Roman" w:cs="Times New Roman"/>
          <w:i/>
        </w:rPr>
        <w:t xml:space="preserve"> vise « le fait d'exercer […] une activité ayant pour but l'obtention ou la livraison » desdits renseignements.</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51. </w:t>
      </w:r>
      <w:r w:rsidRPr="00D5084E">
        <w:rPr>
          <w:rFonts w:ascii="Times New Roman" w:hAnsi="Times New Roman" w:cs="Times New Roman"/>
          <w:i/>
        </w:rPr>
        <w:t>Les articles 411-6 à 411-8 rangent parmi les informations à protéger « les renseignements, procédés, objets, documents, données informatisées, fichiers », couvrant de la sorte les informations immatérielles et leurs supports matériels. Pour le recueil ou le rassemblement des informations, la répétition des faits devient un élément essentiel à la commission de l'infraction. Pris séparément, le renseignement obtenu n'a souvent que peu de valeur et reste difficilement exploitable. L'exemple classiquement apporté est celui de l'action de photographier une plage qui n'est pas répréhensible en soi mais dont la juxtaposition de clichés peut, en reconstituant l'image de la côte, servir les intérêts d'une puissance étrangère. Ce travail de recoupement, pratiqué par les services spécialisés de certains pays, constitue une menace toujours bien réelle.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52. </w:t>
      </w:r>
      <w:r w:rsidRPr="00D5084E">
        <w:rPr>
          <w:rFonts w:ascii="Times New Roman" w:hAnsi="Times New Roman" w:cs="Times New Roman"/>
          <w:i/>
        </w:rPr>
        <w:t>L'infraction est réalisée dès lors que « l'exploitation, la divulgation ou la réunion est de nature à porter atteinte aux intérêts fondamentaux de la nation ». Par cette référence, la protection pénale se trouve étendue aux informations non couvertes par le secret de la défense nationale. Cette formulation rappelle également la nécessaire intention coupable. En définitive, si la nature des informations recueillies ne révèle pas strictement l'intention, cette dernière représente, en revanche, l'indice de l'atteinte produite aux intérêts vitaux du pays. Dans la mise en œuvre de l'article 411-7, la preuve de cette intention est déterminante dans la mesure où l'acte matériel ne se formalise pas par la livraison, à une puissance étrangère, des informations collectées, mais dans le rassemblement de celles-ci.</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lastRenderedPageBreak/>
        <w:t>53. </w:t>
      </w:r>
      <w:r w:rsidRPr="00D5084E">
        <w:rPr>
          <w:rFonts w:ascii="Times New Roman" w:hAnsi="Times New Roman" w:cs="Times New Roman"/>
          <w:i/>
        </w:rPr>
        <w:t>L'article 411-8 enrichit les dispositions relatives à la livraison d'informations à une puissance étrangère en réprimant l'activité d'un agent étranger, appartenant à une agence de renseignements ou à un réseau d'espionnage, pré-positionné sur le territoire national en vue de recueillir et livrer des informations sensibles. Ces agents sont parfois désignés sous l'appellation d'« agents dormants » ou encore de « taupes ». Parmi les divers actes matériels constitutifs de la trahison et de l'espionnage, le sabotage demeure un moyen efficace d'attenter aux intérêts fondamentaux de la nation, en paralysant son fonctionnement.</w:t>
      </w:r>
    </w:p>
    <w:p w:rsidR="00143704" w:rsidRPr="00D5084E" w:rsidRDefault="00143704" w:rsidP="00143704">
      <w:pPr>
        <w:pStyle w:val="NIV6TITRE"/>
        <w:spacing w:before="75" w:after="30" w:line="360" w:lineRule="auto"/>
        <w:jc w:val="both"/>
        <w:rPr>
          <w:rFonts w:eastAsia="Verdana"/>
          <w:b/>
          <w:bCs/>
          <w:i/>
          <w:color w:val="1B1B1B"/>
        </w:rPr>
      </w:pPr>
      <w:r w:rsidRPr="00D5084E">
        <w:rPr>
          <w:rFonts w:eastAsia="Verdana"/>
          <w:b/>
          <w:bCs/>
          <w:i/>
          <w:color w:val="1B1B1B"/>
        </w:rPr>
        <w:t xml:space="preserve"> - </w:t>
      </w:r>
      <w:r w:rsidRPr="00D5084E">
        <w:rPr>
          <w:rStyle w:val="NIV6TITRETIT-INTT"/>
          <w:rFonts w:eastAsia="Verdana"/>
          <w:i/>
          <w:color w:val="1B1B1B"/>
          <w:sz w:val="24"/>
          <w:szCs w:val="24"/>
        </w:rPr>
        <w:t>Sabotage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54. </w:t>
      </w:r>
      <w:r w:rsidRPr="00D5084E">
        <w:rPr>
          <w:rFonts w:ascii="Times New Roman" w:hAnsi="Times New Roman" w:cs="Times New Roman"/>
          <w:i/>
        </w:rPr>
        <w:t>Élargissant la portée de l'article 70-4</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de l'ancien code, l'article 411-9 du code pénal définit le sabotage par « le fait de détruire, détériorer ou détourner tout document, matériel, construction, équipement, installation, appareil, dispositif technique ou système de traitement automatisé d'informations ou d'y apporter des malfaçons […] ». Cet article ne fait pas mention de l'affectation des biens protégés à la défense nationale. Pour autant, cette limitation se comprend par la raison d'être des articles 322-1 à 322-11 du même code relatifs aux destructions, dégradations et détériorations ne présentant pas de danger pour les personnes. En effet, la plus grande sévérité des peines portées à l'article 411-9 imposerait de faire prévaloir ses dispositions. Toutefois, la liste des biens protégés apparaît bien fournie. Elle comprend des biens immobiliers, à l'instar des constructions et installations, comme les casernes, les aérodromes, les arsenaux, les ports militaires et des objets mobiliers nombreux. Il s'agit notamment des matériels, à l'exemple des navires et appareils de navigation visés à l'article 70-4</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xml:space="preserve"> de l'ancien code ou des documents (écrits ou informatisés…). Aux côtés des menaces d'espionnage électronique en vue de recueillir des informations classifiées existent des risques de sabotage des systèmes d'informations par des manipulations frauduleuses telles que l'introduction de virus, l'effacement de fichiers, des altérations difficilement décelables. À cet égard, l'article 411-9 complète les dispositions des articles 323-1 à 323-7 qui figurent au chapitre III du titre II du livre III consacré aux atteintes aux systèmes de traitement automatisé des données.</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55. </w:t>
      </w:r>
      <w:r w:rsidRPr="00D5084E">
        <w:rPr>
          <w:rFonts w:ascii="Times New Roman" w:hAnsi="Times New Roman" w:cs="Times New Roman"/>
          <w:i/>
        </w:rPr>
        <w:t xml:space="preserve">L'article 411-9 désigne l'acte matériel du sabotage par « une destruction, une détérioration ou un détournement ». Cette dernière notion apparaît moins usuelle que les précédentes utilisées notamment aux articles 322-1 à 322-11. Cette expression permet d'élargir le champ de l'incrimination à des agissements qui ne portent pas directement atteinte à l'intégrité matérielle des objets. De plus, l'article 411-9 prévoit l'hypothèse d'une </w:t>
      </w:r>
      <w:r w:rsidRPr="00D5084E">
        <w:rPr>
          <w:rFonts w:ascii="Times New Roman" w:hAnsi="Times New Roman" w:cs="Times New Roman"/>
          <w:i/>
        </w:rPr>
        <w:lastRenderedPageBreak/>
        <w:t>malfaçon apportée à ces biens. Dans ces circonstances, il faut admettre que des défauts de fabrication soient la conséquence de malveillances dans le but d'empêcher un fonctionnement normal voire de provoquer un accident.</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56. </w:t>
      </w:r>
      <w:r w:rsidRPr="00D5084E">
        <w:rPr>
          <w:rFonts w:ascii="Times New Roman" w:hAnsi="Times New Roman" w:cs="Times New Roman"/>
          <w:i/>
        </w:rPr>
        <w:t>Enfin, l'intention coupable se conçoit différemment entre les deux alinéas de l'article 411-9. Au premier alinéa, il peut s'agir d'un dol simple manifesté par la volonté d'endommager un bien dont son affectation à la défense nationale est présupposée. Le second alinéa comporte une circonstance aggravante avec une augmentation des peines encourues lorsque les mêmes faits sont commis en vue « de servir les intérêts d'une puissance étrangère, d'une entreprise ou organisation étrangère ou sous contrôle étranger ». L'</w:t>
      </w:r>
      <w:r w:rsidRPr="00D5084E">
        <w:rPr>
          <w:rStyle w:val="CORPUSanyCharacter"/>
          <w:rFonts w:ascii="Times New Roman" w:hAnsi="Times New Roman" w:cs="Times New Roman"/>
          <w:i/>
          <w:iCs/>
        </w:rPr>
        <w:t>animus hostilis</w:t>
      </w:r>
      <w:r w:rsidRPr="00D5084E">
        <w:rPr>
          <w:rFonts w:ascii="Times New Roman" w:hAnsi="Times New Roman" w:cs="Times New Roman"/>
          <w:i/>
        </w:rPr>
        <w:t xml:space="preserve"> devient alors prépondérant.</w:t>
      </w:r>
    </w:p>
    <w:p w:rsidR="00143704" w:rsidRPr="00D5084E" w:rsidRDefault="00143704" w:rsidP="00143704">
      <w:pPr>
        <w:pStyle w:val="CORPUSany"/>
        <w:spacing w:after="180" w:line="360" w:lineRule="auto"/>
        <w:rPr>
          <w:rFonts w:ascii="Times New Roman" w:hAnsi="Times New Roman" w:cs="Times New Roman"/>
          <w:i/>
        </w:rPr>
      </w:pPr>
      <w:r w:rsidRPr="00D5084E">
        <w:rPr>
          <w:rFonts w:ascii="Times New Roman" w:hAnsi="Times New Roman" w:cs="Times New Roman"/>
          <w:i/>
        </w:rPr>
        <w:t>Parmi les éléments matériels constitutifs de la trahison et de l'espionnage, seules les dispositions de l'article 411-10 relatives à la fourniture de fausses informations se révèlent véritablement novatrices (V infra, n</w:t>
      </w:r>
      <w:r w:rsidRPr="00D5084E">
        <w:rPr>
          <w:rStyle w:val="CORPUSanyCharacter"/>
          <w:rFonts w:ascii="Times New Roman" w:hAnsi="Times New Roman" w:cs="Times New Roman"/>
          <w:i/>
          <w:vertAlign w:val="superscript"/>
        </w:rPr>
        <w:t>os</w:t>
      </w:r>
      <w:r w:rsidRPr="00D5084E">
        <w:rPr>
          <w:rFonts w:ascii="Times New Roman" w:hAnsi="Times New Roman" w:cs="Times New Roman"/>
          <w:i/>
        </w:rPr>
        <w:t> 57 et s.).</w:t>
      </w:r>
    </w:p>
    <w:p w:rsidR="00143704" w:rsidRPr="00D5084E" w:rsidRDefault="00143704" w:rsidP="00143704">
      <w:pPr>
        <w:pStyle w:val="NIV6TITRE"/>
        <w:spacing w:before="75" w:after="30" w:line="360" w:lineRule="auto"/>
        <w:jc w:val="both"/>
        <w:rPr>
          <w:rFonts w:eastAsia="Verdana"/>
          <w:b/>
          <w:bCs/>
          <w:i/>
          <w:color w:val="1B1B1B"/>
        </w:rPr>
      </w:pPr>
      <w:r w:rsidRPr="00D5084E">
        <w:rPr>
          <w:rFonts w:eastAsia="Verdana"/>
          <w:b/>
          <w:bCs/>
          <w:i/>
          <w:color w:val="1B1B1B"/>
        </w:rPr>
        <w:t xml:space="preserve">- </w:t>
      </w:r>
      <w:r w:rsidRPr="00D5084E">
        <w:rPr>
          <w:rStyle w:val="NIV6TITRETIT-INTT"/>
          <w:rFonts w:eastAsia="Verdana"/>
          <w:i/>
          <w:color w:val="1B1B1B"/>
          <w:sz w:val="24"/>
          <w:szCs w:val="24"/>
        </w:rPr>
        <w:t>Fourniture de fausses informations</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57. </w:t>
      </w:r>
      <w:r w:rsidRPr="00D5084E">
        <w:rPr>
          <w:rFonts w:ascii="Times New Roman" w:hAnsi="Times New Roman" w:cs="Times New Roman"/>
          <w:i/>
        </w:rPr>
        <w:t>L'article 411-10 constitue ainsi une des innovations du livre IV du nouveau code pénal. Cette incrimination réprime « le fait de fournir, en vue de servir les intérêts d'une puissance étrangère […], aux autorités civiles ou militaires de la France des informations fausses de nature à les induire en erreur et à porter atteinte aux intérêts fondamentaux de la nation ». En ces termes, l'objectif recherché consiste à atteindre les divers centres décisionnels en intervenant de façon directe, mais clandestine, pour déstabiliser le pays et décrédibiliser notamment ses responsables politiques. Par ces manœuvres, ces derniers sont alors conduits à adopter certaines attitudes ou à prendre certaines décisions contraires aux propres intérêts de leur pays. En marge des éléments constitutifs traditionnels des incriminations liées à la trahison et à l'espionnage (agissements au profit d'une puissance étrangère et atteintes aux intérêts fondamentaux de la nation), deux actes matériels caractérisent plus précisément la fourniture de fausses informations et portent respectivement sur leurs spécificités et leurs destinataires.</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58. </w:t>
      </w:r>
      <w:r w:rsidRPr="00D5084E">
        <w:rPr>
          <w:rFonts w:ascii="Times New Roman" w:hAnsi="Times New Roman" w:cs="Times New Roman"/>
          <w:i/>
        </w:rPr>
        <w:t xml:space="preserve">La notion d'« informations fausses » admet, tout d'abord, que leur caractère erroné ne soit pas facilement détectable. Cette difficulté de percevoir aisément une désinformation traduit concrètement l'obligation légale introduite par la formule « de nature à induire en erreur ». Cette exigence tient nécessairement compte du degré de sophistication </w:t>
      </w:r>
      <w:r w:rsidRPr="00D5084E">
        <w:rPr>
          <w:rFonts w:ascii="Times New Roman" w:hAnsi="Times New Roman" w:cs="Times New Roman"/>
          <w:i/>
        </w:rPr>
        <w:lastRenderedPageBreak/>
        <w:t>qu'impliquent les vérifications de la pertinence d'informations exploitées par les autorités gouvernementales. Aussi, il semble que l'article 410-10 vise principalement, dans la désignation des destinataires des informations fausses, les personnes susceptibles d'exercer une influence sur ces autorités. Cette fourniture de fausses informations doit finalement s'effectuer auprès des « autorités civiles ou militaires de la France ».</w:t>
      </w:r>
    </w:p>
    <w:p w:rsidR="00143704" w:rsidRPr="00D5084E" w:rsidRDefault="00143704" w:rsidP="00143704">
      <w:pPr>
        <w:pStyle w:val="CORPUSany"/>
        <w:spacing w:after="180" w:line="360" w:lineRule="auto"/>
        <w:rPr>
          <w:rFonts w:ascii="Times New Roman" w:hAnsi="Times New Roman" w:cs="Times New Roman"/>
          <w:i/>
        </w:rPr>
      </w:pPr>
      <w:r w:rsidRPr="00D5084E">
        <w:rPr>
          <w:rFonts w:ascii="Times New Roman" w:hAnsi="Times New Roman" w:cs="Times New Roman"/>
          <w:i/>
        </w:rPr>
        <w:t>Enfin, la provocation aux crimes constitue la dernière expression des actes matériels relatifs à la trahison et à l'espionnage (V. </w:t>
      </w:r>
      <w:r w:rsidRPr="00D5084E">
        <w:rPr>
          <w:rStyle w:val="CORPUSanyCharacter"/>
          <w:rFonts w:ascii="Times New Roman" w:hAnsi="Times New Roman" w:cs="Times New Roman"/>
          <w:i/>
          <w:iCs/>
        </w:rPr>
        <w:t>infra,</w:t>
      </w:r>
      <w:r w:rsidRPr="00D5084E">
        <w:rPr>
          <w:rFonts w:ascii="Times New Roman" w:hAnsi="Times New Roman" w:cs="Times New Roman"/>
          <w:i/>
        </w:rPr>
        <w:t xml:space="preserve"> n</w:t>
      </w:r>
      <w:r w:rsidRPr="00D5084E">
        <w:rPr>
          <w:rStyle w:val="CORPUSanyCharacter"/>
          <w:rFonts w:ascii="Times New Roman" w:hAnsi="Times New Roman" w:cs="Times New Roman"/>
          <w:i/>
          <w:vertAlign w:val="superscript"/>
        </w:rPr>
        <w:t>os</w:t>
      </w:r>
      <w:r w:rsidRPr="00D5084E">
        <w:rPr>
          <w:rFonts w:ascii="Times New Roman" w:hAnsi="Times New Roman" w:cs="Times New Roman"/>
          <w:i/>
        </w:rPr>
        <w:t> 59 et s.).</w:t>
      </w:r>
    </w:p>
    <w:p w:rsidR="00143704" w:rsidRPr="00D5084E" w:rsidRDefault="00143704" w:rsidP="00143704">
      <w:pPr>
        <w:pStyle w:val="NIV6TITRE"/>
        <w:spacing w:before="75" w:after="30" w:line="360" w:lineRule="auto"/>
        <w:jc w:val="both"/>
        <w:rPr>
          <w:rFonts w:eastAsia="Verdana"/>
          <w:b/>
          <w:bCs/>
          <w:i/>
          <w:color w:val="1B1B1B"/>
        </w:rPr>
      </w:pPr>
      <w:r w:rsidRPr="00D5084E">
        <w:rPr>
          <w:rFonts w:eastAsia="Verdana"/>
          <w:b/>
          <w:bCs/>
          <w:i/>
          <w:color w:val="1B1B1B"/>
        </w:rPr>
        <w:t xml:space="preserve"> - </w:t>
      </w:r>
      <w:r w:rsidRPr="00D5084E">
        <w:rPr>
          <w:rStyle w:val="NIV6TITRETIT-INTT"/>
          <w:rFonts w:eastAsia="Verdana"/>
          <w:i/>
          <w:color w:val="1B1B1B"/>
          <w:sz w:val="24"/>
          <w:szCs w:val="24"/>
        </w:rPr>
        <w:t>Provocation à l'un des crimes de trahison ou d'espionnage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59. </w:t>
      </w:r>
      <w:r w:rsidRPr="00D5084E">
        <w:rPr>
          <w:rFonts w:ascii="Times New Roman" w:hAnsi="Times New Roman" w:cs="Times New Roman"/>
          <w:i/>
        </w:rPr>
        <w:t>Inspiré de l'article 73, alinéa 2, de l'ancien code pénal, l'article 411-11 du code actuel incrimine le fait de provoquer directement à commettre l'un des crimes de trahison ou d'espionnage définis aux articles 411-2 à 411-10. Cette provocation doit avoir échoué pour des raisons indépendantes à la volonté de son auteur. Si ces raisons ne permettent pas de faire échec à la provocation, les règles générales posées par les articles 121-6 et 121-7 du code pénal sur la complicité sont alors applicables à la trahison et à l'espionnage.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60. </w:t>
      </w:r>
      <w:r w:rsidRPr="00D5084E">
        <w:rPr>
          <w:rFonts w:ascii="Times New Roman" w:hAnsi="Times New Roman" w:cs="Times New Roman"/>
          <w:i/>
        </w:rPr>
        <w:t>L'article 411-10 détermine également l'expression de cette provocation. Celle-ci se manifeste par des promesses, des offres, des pressions, des menaces ou des voies de fait.</w:t>
      </w:r>
    </w:p>
    <w:p w:rsidR="00143704" w:rsidRPr="00D5084E" w:rsidRDefault="00143704" w:rsidP="00143704">
      <w:pPr>
        <w:pStyle w:val="CORPUSany"/>
        <w:spacing w:after="180" w:line="360" w:lineRule="auto"/>
        <w:rPr>
          <w:rFonts w:ascii="Times New Roman" w:hAnsi="Times New Roman" w:cs="Times New Roman"/>
          <w:i/>
        </w:rPr>
      </w:pPr>
      <w:r w:rsidRPr="00D5084E">
        <w:rPr>
          <w:rFonts w:ascii="Times New Roman" w:hAnsi="Times New Roman" w:cs="Times New Roman"/>
          <w:i/>
        </w:rPr>
        <w:t>Les actes matériels de la trahison et de l'espionnage se déclinent ainsi diversement. Pour autant, un point commun les rapproche quant aux bénéficiaires de ces agissements coupables.</w:t>
      </w:r>
    </w:p>
    <w:p w:rsidR="00143704" w:rsidRPr="00D5084E" w:rsidRDefault="00143704" w:rsidP="00143704">
      <w:pPr>
        <w:pStyle w:val="NIV5TITRE"/>
        <w:spacing w:before="150" w:after="150" w:line="360" w:lineRule="auto"/>
        <w:jc w:val="both"/>
        <w:rPr>
          <w:rFonts w:eastAsia="Verdana"/>
          <w:b/>
          <w:bCs/>
          <w:i/>
          <w:color w:val="1B1B1B"/>
        </w:rPr>
      </w:pPr>
      <w:r w:rsidRPr="00D5084E">
        <w:rPr>
          <w:rFonts w:eastAsia="Verdana"/>
          <w:b/>
          <w:bCs/>
          <w:i/>
          <w:color w:val="1B1B1B"/>
        </w:rPr>
        <w:t xml:space="preserve"> - </w:t>
      </w:r>
      <w:r w:rsidRPr="00D5084E">
        <w:rPr>
          <w:rStyle w:val="NIV5TITRETIT-INTT"/>
          <w:rFonts w:eastAsia="Verdana"/>
          <w:b/>
          <w:bCs/>
          <w:i/>
          <w:color w:val="1B1B1B"/>
          <w:sz w:val="24"/>
          <w:szCs w:val="24"/>
        </w:rPr>
        <w:t>Élément commun</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61. </w:t>
      </w:r>
      <w:r w:rsidRPr="00D5084E">
        <w:rPr>
          <w:rFonts w:ascii="Times New Roman" w:hAnsi="Times New Roman" w:cs="Times New Roman"/>
          <w:i/>
        </w:rPr>
        <w:t>Les différentes formes de trahison et d'espionnage se réfèrent à un acte matériel commun en intégrant aux incriminations la notion de « puissance étrangère ». La commission de ces infractions se réalise ainsi au profit d'un organisme étranger dont l'identification est souvent commune. À cet égard, les articles 411-3 à 411-8 et 411-10 du code pénal prévoient que le fait de livrer des biens, des informations ou d'entretenir des intelligences se concrétise avec une puissance étrangère, une entreprise ou une organisation étrangère ou sous contrôle étranger ou leurs agents. L'article 411-2 exclut seulement de cette liste la notion d'entreprise.</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62. </w:t>
      </w:r>
      <w:r w:rsidRPr="00D5084E">
        <w:rPr>
          <w:rFonts w:ascii="Times New Roman" w:hAnsi="Times New Roman" w:cs="Times New Roman"/>
          <w:i/>
        </w:rPr>
        <w:t xml:space="preserve">En revanche, ni l'article 411-4 pour le sabotage, ni l'article 411-10 pour la provocation à commettre un crime relatif à la trahison ou à l'espionnage ne visent expressément cette précédente énumération d'organismes étrangers. Toutefois, la provocation concerne des actes dont l'incrimination mentionne le critère de la puissance étrangère. De même, si le sabotage </w:t>
      </w:r>
      <w:r w:rsidRPr="00D5084E">
        <w:rPr>
          <w:rFonts w:ascii="Times New Roman" w:hAnsi="Times New Roman" w:cs="Times New Roman"/>
          <w:i/>
        </w:rPr>
        <w:lastRenderedPageBreak/>
        <w:t>peut être commis sans que le coupable ait envisagé de favoriser une puissance étrangère, celle-ci est indirectement concernée par ses effets dans la mesure où il est porté atteinte aux intérêts fondamentaux de la nation.</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63. </w:t>
      </w:r>
      <w:r w:rsidRPr="00D5084E">
        <w:rPr>
          <w:rFonts w:ascii="Times New Roman" w:hAnsi="Times New Roman" w:cs="Times New Roman"/>
          <w:i/>
        </w:rPr>
        <w:t>Les actions conduites au bénéfice d'une puissance étrangère s'exercent traditionnellement par l'intermédiaire d'agents dont la nationalité est en réalité indifférente. Par ailleurs, des questions se sont posées quant à la nature des liens entre l'État étranger et l'agent. À ce sujet, la chambre criminelle de la Cour de cassation (24 mai 1917, Bull. crim. n</w:t>
      </w:r>
      <w:r w:rsidRPr="00D5084E">
        <w:rPr>
          <w:rStyle w:val="CORPUSanyCharacter"/>
          <w:rFonts w:ascii="Times New Roman" w:hAnsi="Times New Roman" w:cs="Times New Roman"/>
          <w:i/>
          <w:vertAlign w:val="superscript"/>
        </w:rPr>
        <w:t>o</w:t>
      </w:r>
      <w:r w:rsidRPr="00D5084E">
        <w:rPr>
          <w:rFonts w:ascii="Times New Roman" w:hAnsi="Times New Roman" w:cs="Times New Roman"/>
          <w:i/>
        </w:rPr>
        <w:t> 135) a considéré que cette relation pouvait correspondre à une mission officielle reçue d'un Gouvernement étranger mais que cette preuve, par définition délicate, relevait de l'appréciation souveraine des juges. En outre, la notion d'« entreprise » ne doit pas être entendue selon les termes de la définition donnée aux articles 421-1 et suivants du code pénal, relatifs au terrorisme (« entreprise individuelle ou collective ayant pour but de troubler gravement l'ordre public par l'intimidation ou la terreur »).</w:t>
      </w:r>
    </w:p>
    <w:p w:rsidR="00143704" w:rsidRPr="00D5084E" w:rsidRDefault="00143704" w:rsidP="00143704">
      <w:pPr>
        <w:pStyle w:val="CORPUSany"/>
        <w:spacing w:before="90" w:after="180" w:line="360" w:lineRule="auto"/>
        <w:rPr>
          <w:rFonts w:ascii="Times New Roman" w:hAnsi="Times New Roman" w:cs="Times New Roman"/>
          <w:i/>
        </w:rPr>
      </w:pPr>
      <w:r w:rsidRPr="00D5084E">
        <w:rPr>
          <w:rStyle w:val="CORPUSanyCharacter"/>
          <w:rFonts w:ascii="Times New Roman" w:hAnsi="Times New Roman" w:cs="Times New Roman"/>
          <w:b/>
          <w:bCs/>
          <w:i/>
        </w:rPr>
        <w:t>64. </w:t>
      </w:r>
      <w:r w:rsidRPr="00D5084E">
        <w:rPr>
          <w:rFonts w:ascii="Times New Roman" w:hAnsi="Times New Roman" w:cs="Times New Roman"/>
          <w:i/>
        </w:rPr>
        <w:t>Au titre des incriminations liées à la trahison et à l'espionnage, l'entreprise prend alors les contours qui lui sont donnés par le droit commercial. Dans ces circonstances, le statut (public ou privé) et le lieu d'implantation du siège social (à l'étranger ou sur le sol français) de cette entreprise importent peu. Ainsi, dans l'espèce précitée (Crim. 24 mai 1917), il a été admis que le représentant d'une entreprise allemande qui achetait au nom de celle-ci, auprès de fournisseurs français, d'importantes quantités de ferro-silicium destiné à la fabrication de munitions de guerre, était un agent d'une puissance (entreprise) étrangère.</w:t>
      </w:r>
    </w:p>
    <w:p w:rsidR="00FF44E5" w:rsidRPr="00521A5E" w:rsidRDefault="00FF44E5" w:rsidP="00FF44E5">
      <w:pPr>
        <w:spacing w:line="360" w:lineRule="auto"/>
        <w:jc w:val="both"/>
        <w:rPr>
          <w:rFonts w:ascii="Times New Roman" w:hAnsi="Times New Roman" w:cs="Times New Roman"/>
          <w:b/>
          <w:bCs/>
          <w:i/>
          <w:sz w:val="24"/>
          <w:szCs w:val="24"/>
        </w:rPr>
      </w:pPr>
      <w:r>
        <w:rPr>
          <w:rFonts w:ascii="Times New Roman" w:hAnsi="Times New Roman" w:cs="Times New Roman"/>
          <w:i/>
          <w:sz w:val="24"/>
          <w:szCs w:val="24"/>
        </w:rPr>
        <w:t xml:space="preserve">Cf. </w:t>
      </w:r>
      <w:r w:rsidRPr="00CC60A1">
        <w:rPr>
          <w:rFonts w:ascii="Times New Roman" w:hAnsi="Times New Roman" w:cs="Times New Roman"/>
          <w:b/>
          <w:bCs/>
          <w:i/>
          <w:sz w:val="24"/>
          <w:szCs w:val="24"/>
        </w:rPr>
        <w:t>Répertoire de droit pénal et de procédure pénale</w:t>
      </w:r>
      <w:r>
        <w:rPr>
          <w:rFonts w:ascii="Times New Roman" w:hAnsi="Times New Roman" w:cs="Times New Roman"/>
          <w:b/>
          <w:bCs/>
          <w:i/>
          <w:sz w:val="24"/>
          <w:szCs w:val="24"/>
        </w:rPr>
        <w:t xml:space="preserve">, « atteintes aux intérêts fondamentaux de la nation »,  </w:t>
      </w:r>
      <w:r w:rsidRPr="00CC60A1">
        <w:rPr>
          <w:rFonts w:ascii="Times New Roman" w:hAnsi="Times New Roman" w:cs="Times New Roman"/>
          <w:b/>
          <w:bCs/>
          <w:i/>
          <w:sz w:val="24"/>
          <w:szCs w:val="24"/>
        </w:rPr>
        <w:t>Serge RAYNE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Officier de gendarmerie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Direction générale de la gendarmerie nationale</w:t>
      </w:r>
      <w:r>
        <w:rPr>
          <w:rFonts w:ascii="Times New Roman" w:hAnsi="Times New Roman" w:cs="Times New Roman"/>
          <w:b/>
          <w:bCs/>
          <w:i/>
          <w:sz w:val="24"/>
          <w:szCs w:val="24"/>
        </w:rPr>
        <w:t xml:space="preserve">, </w:t>
      </w:r>
      <w:r w:rsidRPr="00CC60A1">
        <w:rPr>
          <w:rFonts w:ascii="Times New Roman" w:hAnsi="Times New Roman" w:cs="Times New Roman"/>
          <w:b/>
          <w:bCs/>
          <w:i/>
          <w:sz w:val="24"/>
          <w:szCs w:val="24"/>
        </w:rPr>
        <w:t>janvier 2009</w:t>
      </w:r>
      <w:r>
        <w:rPr>
          <w:rFonts w:ascii="Times New Roman" w:hAnsi="Times New Roman" w:cs="Times New Roman"/>
          <w:b/>
          <w:bCs/>
          <w:i/>
          <w:sz w:val="24"/>
          <w:szCs w:val="24"/>
        </w:rPr>
        <w:t>.</w:t>
      </w:r>
    </w:p>
    <w:p w:rsidR="00143704" w:rsidRDefault="00143704" w:rsidP="0098524B">
      <w:pPr>
        <w:spacing w:line="360" w:lineRule="auto"/>
        <w:jc w:val="both"/>
        <w:rPr>
          <w:rFonts w:ascii="Times New Roman" w:hAnsi="Times New Roman" w:cs="Times New Roman"/>
          <w:i/>
          <w:sz w:val="24"/>
          <w:szCs w:val="24"/>
        </w:rPr>
      </w:pPr>
    </w:p>
    <w:p w:rsidR="00FF44E5" w:rsidRDefault="00FF44E5" w:rsidP="0098524B">
      <w:pPr>
        <w:spacing w:line="360" w:lineRule="auto"/>
        <w:jc w:val="both"/>
        <w:rPr>
          <w:rFonts w:ascii="Times New Roman" w:hAnsi="Times New Roman" w:cs="Times New Roman"/>
          <w:i/>
          <w:sz w:val="24"/>
          <w:szCs w:val="24"/>
        </w:rPr>
      </w:pPr>
    </w:p>
    <w:p w:rsidR="00FF44E5" w:rsidRDefault="00FF44E5" w:rsidP="0098524B">
      <w:pPr>
        <w:spacing w:line="360" w:lineRule="auto"/>
        <w:jc w:val="both"/>
        <w:rPr>
          <w:rFonts w:ascii="Times New Roman" w:hAnsi="Times New Roman" w:cs="Times New Roman"/>
          <w:i/>
          <w:sz w:val="24"/>
          <w:szCs w:val="24"/>
        </w:rPr>
      </w:pPr>
    </w:p>
    <w:p w:rsidR="00FF44E5" w:rsidRDefault="00FF44E5" w:rsidP="0098524B">
      <w:pPr>
        <w:spacing w:line="360" w:lineRule="auto"/>
        <w:jc w:val="both"/>
        <w:rPr>
          <w:rFonts w:ascii="Times New Roman" w:hAnsi="Times New Roman" w:cs="Times New Roman"/>
          <w:i/>
          <w:sz w:val="24"/>
          <w:szCs w:val="24"/>
        </w:rPr>
      </w:pPr>
    </w:p>
    <w:p w:rsidR="00CF6350" w:rsidRDefault="00CF6350" w:rsidP="0098524B">
      <w:pPr>
        <w:spacing w:line="360" w:lineRule="auto"/>
        <w:jc w:val="both"/>
        <w:rPr>
          <w:rFonts w:ascii="Times New Roman" w:hAnsi="Times New Roman" w:cs="Times New Roman"/>
          <w:i/>
          <w:sz w:val="24"/>
          <w:szCs w:val="24"/>
        </w:rPr>
      </w:pPr>
    </w:p>
    <w:p w:rsidR="00CF6350" w:rsidRDefault="00CF6350" w:rsidP="0098524B">
      <w:pPr>
        <w:spacing w:line="360" w:lineRule="auto"/>
        <w:jc w:val="both"/>
        <w:rPr>
          <w:rFonts w:ascii="Times New Roman" w:hAnsi="Times New Roman" w:cs="Times New Roman"/>
          <w:i/>
          <w:sz w:val="24"/>
          <w:szCs w:val="24"/>
        </w:rPr>
      </w:pPr>
    </w:p>
    <w:p w:rsidR="00B6204E" w:rsidRPr="009762AA" w:rsidRDefault="00B6204E" w:rsidP="009762AA">
      <w:pPr>
        <w:pStyle w:val="Titre1"/>
        <w:rPr>
          <w:i w:val="0"/>
          <w:iCs/>
        </w:rPr>
      </w:pPr>
      <w:bookmarkStart w:id="33" w:name="_Toc521059415"/>
      <w:r w:rsidRPr="009762AA">
        <w:rPr>
          <w:i w:val="0"/>
          <w:iCs/>
        </w:rPr>
        <w:lastRenderedPageBreak/>
        <w:t>SECTION Il</w:t>
      </w:r>
      <w:r w:rsidR="00BF7EB8" w:rsidRPr="009762AA">
        <w:rPr>
          <w:i w:val="0"/>
          <w:iCs/>
        </w:rPr>
        <w:t xml:space="preserve"> : </w:t>
      </w:r>
      <w:r w:rsidRPr="009762AA">
        <w:rPr>
          <w:i w:val="0"/>
          <w:iCs/>
        </w:rPr>
        <w:t>DES AUTRES ATTEINTES A</w:t>
      </w:r>
      <w:r w:rsidR="00BF7EB8" w:rsidRPr="009762AA">
        <w:rPr>
          <w:i w:val="0"/>
          <w:iCs/>
        </w:rPr>
        <w:t xml:space="preserve"> </w:t>
      </w:r>
      <w:r w:rsidRPr="009762AA">
        <w:rPr>
          <w:i w:val="0"/>
          <w:iCs/>
        </w:rPr>
        <w:t>LA DEFENSE NATIONALE</w:t>
      </w:r>
      <w:bookmarkEnd w:id="33"/>
    </w:p>
    <w:p w:rsidR="00B6204E" w:rsidRPr="00D5084E" w:rsidRDefault="00B6204E" w:rsidP="0098524B">
      <w:pPr>
        <w:spacing w:line="360" w:lineRule="auto"/>
        <w:jc w:val="both"/>
        <w:rPr>
          <w:rFonts w:ascii="Times New Roman" w:hAnsi="Times New Roman" w:cs="Times New Roman"/>
          <w:b/>
          <w:bCs/>
          <w:sz w:val="24"/>
          <w:szCs w:val="24"/>
        </w:rPr>
      </w:pPr>
      <w:r w:rsidRPr="00D5084E">
        <w:rPr>
          <w:rFonts w:ascii="Times New Roman" w:hAnsi="Times New Roman" w:cs="Times New Roman"/>
          <w:b/>
          <w:bCs/>
          <w:sz w:val="24"/>
          <w:szCs w:val="24"/>
        </w:rPr>
        <w:t>Article 60</w:t>
      </w:r>
    </w:p>
    <w:p w:rsidR="00B6204E" w:rsidRPr="00D5084E" w:rsidRDefault="00B6204E" w:rsidP="0098524B">
      <w:pPr>
        <w:spacing w:line="360" w:lineRule="auto"/>
        <w:jc w:val="both"/>
        <w:rPr>
          <w:rFonts w:ascii="Times New Roman" w:hAnsi="Times New Roman" w:cs="Times New Roman"/>
          <w:b/>
          <w:sz w:val="24"/>
          <w:szCs w:val="24"/>
        </w:rPr>
      </w:pPr>
      <w:r w:rsidRPr="00D5084E">
        <w:rPr>
          <w:rFonts w:ascii="Times New Roman" w:hAnsi="Times New Roman" w:cs="Times New Roman"/>
          <w:b/>
          <w:sz w:val="24"/>
          <w:szCs w:val="24"/>
        </w:rPr>
        <w:t>Sera puni du maximum</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des travaux forcés à temps,</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tout Sénégalais ou tout</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étranger qui, dans l'intention</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de les livrer à une puissance</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étrangère, rassemblera des</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renseignements, objets,</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documents ou procédés dont</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la réunion et l'exploitation sont</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de nature à nuire à la défense</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nationale.</w:t>
      </w:r>
    </w:p>
    <w:p w:rsidR="004232F5" w:rsidRPr="004232F5" w:rsidRDefault="004232F5" w:rsidP="0098524B">
      <w:pPr>
        <w:spacing w:line="360" w:lineRule="auto"/>
        <w:jc w:val="both"/>
        <w:rPr>
          <w:rFonts w:ascii="Times New Roman" w:hAnsi="Times New Roman" w:cs="Times New Roman"/>
          <w:b/>
          <w:i/>
          <w:sz w:val="24"/>
          <w:szCs w:val="24"/>
          <w:u w:val="single"/>
        </w:rPr>
      </w:pPr>
      <w:r w:rsidRPr="004232F5">
        <w:rPr>
          <w:rFonts w:ascii="Times New Roman" w:hAnsi="Times New Roman" w:cs="Times New Roman"/>
          <w:b/>
          <w:i/>
          <w:sz w:val="24"/>
          <w:szCs w:val="24"/>
          <w:u w:val="single"/>
        </w:rPr>
        <w:t>DOCTRINE</w:t>
      </w:r>
    </w:p>
    <w:p w:rsidR="00227AB6" w:rsidRPr="00AD3ECB" w:rsidRDefault="004232F5" w:rsidP="00227AB6">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8D789E">
        <w:rPr>
          <w:rFonts w:ascii="Times New Roman" w:hAnsi="Times New Roman" w:cs="Times New Roman"/>
          <w:b/>
          <w:bCs/>
          <w:i/>
          <w:sz w:val="24"/>
          <w:szCs w:val="24"/>
        </w:rPr>
        <w:t xml:space="preserve"> </w:t>
      </w:r>
      <w:r w:rsidR="00227AB6" w:rsidRPr="00AD3ECB">
        <w:rPr>
          <w:rFonts w:ascii="Times New Roman" w:hAnsi="Times New Roman" w:cs="Times New Roman"/>
          <w:b/>
          <w:bCs/>
          <w:i/>
          <w:sz w:val="24"/>
          <w:szCs w:val="24"/>
        </w:rPr>
        <w:t>Contrôle de l'usage du secret de la défense nationale</w:t>
      </w:r>
    </w:p>
    <w:p w:rsidR="00B87B83" w:rsidRDefault="00227AB6" w:rsidP="0098524B">
      <w:pPr>
        <w:spacing w:line="360" w:lineRule="auto"/>
        <w:jc w:val="both"/>
        <w:rPr>
          <w:rFonts w:ascii="Times New Roman" w:hAnsi="Times New Roman" w:cs="Times New Roman"/>
          <w:i/>
          <w:sz w:val="24"/>
          <w:szCs w:val="24"/>
        </w:rPr>
      </w:pPr>
      <w:r w:rsidRPr="00AD3ECB">
        <w:rPr>
          <w:rFonts w:ascii="Times New Roman" w:hAnsi="Times New Roman" w:cs="Times New Roman"/>
          <w:b/>
          <w:bCs/>
          <w:i/>
          <w:sz w:val="24"/>
          <w:szCs w:val="24"/>
        </w:rPr>
        <w:t>113. </w:t>
      </w:r>
      <w:r w:rsidRPr="00AD3ECB">
        <w:rPr>
          <w:rFonts w:ascii="Times New Roman" w:hAnsi="Times New Roman" w:cs="Times New Roman"/>
          <w:i/>
          <w:sz w:val="24"/>
          <w:szCs w:val="24"/>
        </w:rPr>
        <w:t>L'interdiction de porter atteinte au secret de la défense nationale est générale et constitue une obligation qui peut être opposée même au juge. Ce principe demeure pleinement valable depuis la création de la Commission consultative du secret de la défense nationale. Cette commission, instituée par la loi n</w:t>
      </w:r>
      <w:r w:rsidRPr="00AD3ECB">
        <w:rPr>
          <w:rFonts w:ascii="Times New Roman" w:hAnsi="Times New Roman" w:cs="Times New Roman"/>
          <w:i/>
          <w:sz w:val="24"/>
          <w:szCs w:val="24"/>
          <w:vertAlign w:val="superscript"/>
        </w:rPr>
        <w:t>o</w:t>
      </w:r>
      <w:r w:rsidRPr="00AD3ECB">
        <w:rPr>
          <w:rFonts w:ascii="Times New Roman" w:hAnsi="Times New Roman" w:cs="Times New Roman"/>
          <w:i/>
          <w:sz w:val="24"/>
          <w:szCs w:val="24"/>
        </w:rPr>
        <w:t> 98-567 du 8 juillet 1998, est une autorité administrative indépendante, composée de cinq membres : trois magistrats nommés pour six ans par le Président de la République, un député désigné par le président de l'Assemblée nationale pour la durée de la législature et un sénateur désigné par le président du Sénat après chaque renouvellement partiel.</w:t>
      </w:r>
    </w:p>
    <w:p w:rsidR="00521A5E" w:rsidRPr="00521A5E" w:rsidRDefault="00521A5E" w:rsidP="0098524B">
      <w:pPr>
        <w:spacing w:line="360" w:lineRule="auto"/>
        <w:jc w:val="both"/>
        <w:rPr>
          <w:rFonts w:ascii="Times New Roman" w:hAnsi="Times New Roman" w:cs="Times New Roman"/>
          <w:b/>
          <w:bCs/>
          <w:i/>
          <w:sz w:val="24"/>
          <w:szCs w:val="24"/>
        </w:rPr>
      </w:pPr>
      <w:r>
        <w:rPr>
          <w:rFonts w:ascii="Times New Roman" w:hAnsi="Times New Roman" w:cs="Times New Roman"/>
          <w:i/>
          <w:sz w:val="24"/>
          <w:szCs w:val="24"/>
        </w:rPr>
        <w:t xml:space="preserve">Cf. </w:t>
      </w:r>
      <w:r w:rsidRPr="00CC60A1">
        <w:rPr>
          <w:rFonts w:ascii="Times New Roman" w:hAnsi="Times New Roman" w:cs="Times New Roman"/>
          <w:b/>
          <w:bCs/>
          <w:i/>
          <w:sz w:val="24"/>
          <w:szCs w:val="24"/>
        </w:rPr>
        <w:t>Répertoire de droit pénal et de procédure pénale</w:t>
      </w:r>
      <w:r>
        <w:rPr>
          <w:rFonts w:ascii="Times New Roman" w:hAnsi="Times New Roman" w:cs="Times New Roman"/>
          <w:b/>
          <w:bCs/>
          <w:i/>
          <w:sz w:val="24"/>
          <w:szCs w:val="24"/>
        </w:rPr>
        <w:t xml:space="preserve">, « atteintes aux intérêts fondamentaux de la nation »,  </w:t>
      </w:r>
      <w:r w:rsidRPr="00CC60A1">
        <w:rPr>
          <w:rFonts w:ascii="Times New Roman" w:hAnsi="Times New Roman" w:cs="Times New Roman"/>
          <w:b/>
          <w:bCs/>
          <w:i/>
          <w:sz w:val="24"/>
          <w:szCs w:val="24"/>
        </w:rPr>
        <w:t>Serge RAYNE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Officier de gendarmerie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Direction générale de la gendarmerie nationale</w:t>
      </w:r>
      <w:r>
        <w:rPr>
          <w:rFonts w:ascii="Times New Roman" w:hAnsi="Times New Roman" w:cs="Times New Roman"/>
          <w:b/>
          <w:bCs/>
          <w:i/>
          <w:sz w:val="24"/>
          <w:szCs w:val="24"/>
        </w:rPr>
        <w:t xml:space="preserve">, </w:t>
      </w:r>
      <w:r w:rsidRPr="00CC60A1">
        <w:rPr>
          <w:rFonts w:ascii="Times New Roman" w:hAnsi="Times New Roman" w:cs="Times New Roman"/>
          <w:b/>
          <w:bCs/>
          <w:i/>
          <w:sz w:val="24"/>
          <w:szCs w:val="24"/>
        </w:rPr>
        <w:t>janvier 2009</w:t>
      </w:r>
      <w:r>
        <w:rPr>
          <w:rFonts w:ascii="Times New Roman" w:hAnsi="Times New Roman" w:cs="Times New Roman"/>
          <w:b/>
          <w:bCs/>
          <w:i/>
          <w:sz w:val="24"/>
          <w:szCs w:val="24"/>
        </w:rPr>
        <w:t>.</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61</w:t>
      </w:r>
    </w:p>
    <w:p w:rsidR="00B6204E" w:rsidRPr="00D5084E" w:rsidRDefault="00B6204E" w:rsidP="0098524B">
      <w:pPr>
        <w:spacing w:line="360" w:lineRule="auto"/>
        <w:jc w:val="both"/>
        <w:rPr>
          <w:rFonts w:ascii="Times New Roman" w:hAnsi="Times New Roman" w:cs="Times New Roman"/>
          <w:b/>
          <w:sz w:val="24"/>
          <w:szCs w:val="24"/>
        </w:rPr>
      </w:pPr>
      <w:r w:rsidRPr="00D5084E">
        <w:rPr>
          <w:rFonts w:ascii="Times New Roman" w:hAnsi="Times New Roman" w:cs="Times New Roman"/>
          <w:b/>
          <w:sz w:val="24"/>
          <w:szCs w:val="24"/>
        </w:rPr>
        <w:t>Sera puni de la détention</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criminelle de dix à vingt ans,</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tout gardien, tout dépositaire</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par fonction ou par qualité</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d'un renseignement, objet,</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document ou procédé qui doit</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être tenu secret dans l'intérêt</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de la défense nationale ou</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dont la connaissance pourrait</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conduire à la découverte d'un</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secret de la défense</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nationale, qui sans intention</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de trahison ou d'espionnage,</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l'aura:</w:t>
      </w:r>
    </w:p>
    <w:p w:rsidR="00B6204E" w:rsidRPr="00D5084E" w:rsidRDefault="00B6204E" w:rsidP="0098524B">
      <w:pPr>
        <w:spacing w:line="360" w:lineRule="auto"/>
        <w:jc w:val="both"/>
        <w:rPr>
          <w:rFonts w:ascii="Times New Roman" w:hAnsi="Times New Roman" w:cs="Times New Roman"/>
          <w:b/>
          <w:sz w:val="24"/>
          <w:szCs w:val="24"/>
        </w:rPr>
      </w:pPr>
      <w:r w:rsidRPr="00D5084E">
        <w:rPr>
          <w:rFonts w:ascii="Times New Roman" w:hAnsi="Times New Roman" w:cs="Times New Roman"/>
          <w:b/>
          <w:sz w:val="24"/>
          <w:szCs w:val="24"/>
        </w:rPr>
        <w:t>1) Détruit, soustrait, laissé</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détruire ou soustraire,</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reproduit ou laissé reproduire;</w:t>
      </w:r>
    </w:p>
    <w:p w:rsidR="00B6204E" w:rsidRPr="00D5084E" w:rsidRDefault="00B6204E" w:rsidP="0098524B">
      <w:pPr>
        <w:spacing w:line="360" w:lineRule="auto"/>
        <w:jc w:val="both"/>
        <w:rPr>
          <w:rFonts w:ascii="Times New Roman" w:hAnsi="Times New Roman" w:cs="Times New Roman"/>
          <w:b/>
          <w:sz w:val="24"/>
          <w:szCs w:val="24"/>
        </w:rPr>
      </w:pPr>
      <w:r w:rsidRPr="00D5084E">
        <w:rPr>
          <w:rFonts w:ascii="Times New Roman" w:hAnsi="Times New Roman" w:cs="Times New Roman"/>
          <w:b/>
          <w:sz w:val="24"/>
          <w:szCs w:val="24"/>
        </w:rPr>
        <w:t>2) Porté ou laissé porter à</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la connaissance d'une</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personne non qualifiée ou du</w:t>
      </w:r>
      <w:r w:rsidR="00BF7EB8"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public.</w:t>
      </w:r>
    </w:p>
    <w:p w:rsidR="007060E6" w:rsidRDefault="00B6204E" w:rsidP="0098524B">
      <w:pPr>
        <w:spacing w:line="360" w:lineRule="auto"/>
        <w:jc w:val="both"/>
        <w:rPr>
          <w:rFonts w:ascii="Times New Roman" w:hAnsi="Times New Roman" w:cs="Times New Roman"/>
          <w:b/>
          <w:sz w:val="24"/>
          <w:szCs w:val="24"/>
        </w:rPr>
      </w:pPr>
      <w:r w:rsidRPr="00D5084E">
        <w:rPr>
          <w:rFonts w:ascii="Times New Roman" w:hAnsi="Times New Roman" w:cs="Times New Roman"/>
          <w:b/>
          <w:sz w:val="24"/>
          <w:szCs w:val="24"/>
        </w:rPr>
        <w:lastRenderedPageBreak/>
        <w:t>La peine sera celle de la</w:t>
      </w:r>
      <w:r w:rsidR="00225993"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détention criminelle de cinq à</w:t>
      </w:r>
      <w:r w:rsidR="00225993"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dix ans si le gardien ou le</w:t>
      </w:r>
      <w:r w:rsidR="00225993"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dépositaire a agi par</w:t>
      </w:r>
      <w:r w:rsidR="00225993"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maladresse, imprudence,</w:t>
      </w:r>
      <w:r w:rsidR="00225993"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inattention, négligence ou</w:t>
      </w:r>
      <w:r w:rsidR="00225993" w:rsidRPr="00D5084E">
        <w:rPr>
          <w:rFonts w:ascii="Times New Roman" w:hAnsi="Times New Roman" w:cs="Times New Roman"/>
          <w:b/>
          <w:sz w:val="24"/>
          <w:szCs w:val="24"/>
        </w:rPr>
        <w:t xml:space="preserve"> </w:t>
      </w:r>
      <w:r w:rsidRPr="00D5084E">
        <w:rPr>
          <w:rFonts w:ascii="Times New Roman" w:hAnsi="Times New Roman" w:cs="Times New Roman"/>
          <w:b/>
          <w:sz w:val="24"/>
          <w:szCs w:val="24"/>
        </w:rPr>
        <w:t>inobservation des règlements.</w:t>
      </w:r>
    </w:p>
    <w:p w:rsidR="00D5084E" w:rsidRPr="00D5084E" w:rsidRDefault="00D5084E" w:rsidP="0098524B">
      <w:pPr>
        <w:spacing w:line="360" w:lineRule="auto"/>
        <w:jc w:val="both"/>
        <w:rPr>
          <w:rFonts w:ascii="Times New Roman" w:hAnsi="Times New Roman" w:cs="Times New Roman"/>
          <w:b/>
          <w:i/>
          <w:sz w:val="24"/>
          <w:szCs w:val="24"/>
          <w:u w:val="single"/>
        </w:rPr>
      </w:pPr>
      <w:r w:rsidRPr="00D5084E">
        <w:rPr>
          <w:rFonts w:ascii="Times New Roman" w:hAnsi="Times New Roman" w:cs="Times New Roman"/>
          <w:b/>
          <w:i/>
          <w:sz w:val="24"/>
          <w:szCs w:val="24"/>
          <w:u w:val="single"/>
        </w:rPr>
        <w:t>DOCTRINE</w:t>
      </w:r>
    </w:p>
    <w:p w:rsidR="00812855" w:rsidRPr="00812855" w:rsidRDefault="00812855" w:rsidP="00812855">
      <w:pPr>
        <w:spacing w:line="360" w:lineRule="auto"/>
        <w:jc w:val="both"/>
        <w:rPr>
          <w:rFonts w:ascii="Times New Roman" w:hAnsi="Times New Roman" w:cs="Times New Roman"/>
          <w:b/>
          <w:bCs/>
          <w:i/>
          <w:sz w:val="24"/>
          <w:szCs w:val="24"/>
        </w:rPr>
      </w:pPr>
      <w:r w:rsidRPr="00812855">
        <w:rPr>
          <w:rFonts w:ascii="Times New Roman" w:hAnsi="Times New Roman" w:cs="Times New Roman"/>
          <w:b/>
          <w:bCs/>
          <w:i/>
          <w:sz w:val="24"/>
          <w:szCs w:val="24"/>
        </w:rPr>
        <w:t>- Atteintes au secret par un dépositaire</w:t>
      </w:r>
    </w:p>
    <w:p w:rsidR="00812855" w:rsidRPr="00812855" w:rsidRDefault="00812855" w:rsidP="00812855">
      <w:pPr>
        <w:spacing w:line="360" w:lineRule="auto"/>
        <w:jc w:val="both"/>
        <w:rPr>
          <w:rFonts w:ascii="Times New Roman" w:hAnsi="Times New Roman" w:cs="Times New Roman"/>
          <w:i/>
          <w:sz w:val="24"/>
          <w:szCs w:val="24"/>
        </w:rPr>
      </w:pPr>
      <w:r w:rsidRPr="00812855">
        <w:rPr>
          <w:rFonts w:ascii="Times New Roman" w:hAnsi="Times New Roman" w:cs="Times New Roman"/>
          <w:b/>
          <w:bCs/>
          <w:i/>
          <w:sz w:val="24"/>
          <w:szCs w:val="24"/>
        </w:rPr>
        <w:t>116. </w:t>
      </w:r>
      <w:r w:rsidRPr="00812855">
        <w:rPr>
          <w:rFonts w:ascii="Times New Roman" w:hAnsi="Times New Roman" w:cs="Times New Roman"/>
          <w:i/>
          <w:sz w:val="24"/>
          <w:szCs w:val="24"/>
        </w:rPr>
        <w:t>L'article 413-10 du code pénal punit toute personne dépositaire d'un renseignement […] relevant du secret de la défense nationale « soit par état ou profession, soit en raison d'une fonction ou d'une mission temporaire ou permanente » de le détruire, le détourner, le soustraire ou le reproduire ou le porter à la connaissance du public ou d'une personne non qualifiée. Le terme de « gardien » qui figurait à l'article 75 de l'ancien code ayant disparu, celui de « dépositaire » est précisé de manière à couvrir les diverses situations. En outre, l'expression « fonction et mission temporaire ou permanente » désigne des personnes qui ne sont pas nécessairement des militaires ou des fonctionnaires, tels les collaborateurs extérieurs et occasionnels de l'État. Il s'agit, par exemple, du titulaire d'un « marché public classifié » ou d'un technicien appelé à faire une intervention dans un local où des matériels ou des documents secrets sont entreposés.</w:t>
      </w:r>
    </w:p>
    <w:p w:rsidR="00812855" w:rsidRDefault="00812855" w:rsidP="0098524B">
      <w:pPr>
        <w:spacing w:line="360" w:lineRule="auto"/>
        <w:jc w:val="both"/>
        <w:rPr>
          <w:rFonts w:ascii="Times New Roman" w:hAnsi="Times New Roman" w:cs="Times New Roman"/>
          <w:i/>
          <w:sz w:val="24"/>
          <w:szCs w:val="24"/>
        </w:rPr>
      </w:pPr>
      <w:r w:rsidRPr="00812855">
        <w:rPr>
          <w:rFonts w:ascii="Times New Roman" w:hAnsi="Times New Roman" w:cs="Times New Roman"/>
          <w:b/>
          <w:bCs/>
          <w:i/>
          <w:sz w:val="24"/>
          <w:szCs w:val="24"/>
        </w:rPr>
        <w:t>117. </w:t>
      </w:r>
      <w:r w:rsidRPr="00812855">
        <w:rPr>
          <w:rFonts w:ascii="Times New Roman" w:hAnsi="Times New Roman" w:cs="Times New Roman"/>
          <w:i/>
          <w:sz w:val="24"/>
          <w:szCs w:val="24"/>
        </w:rPr>
        <w:t>La liste des actes incriminés englobe différentes hypothèses. Elle prévoit tout d'abord des atteintes actives à l'article 413-10, alinéa 1</w:t>
      </w:r>
      <w:r w:rsidRPr="00812855">
        <w:rPr>
          <w:rFonts w:ascii="Times New Roman" w:hAnsi="Times New Roman" w:cs="Times New Roman"/>
          <w:i/>
          <w:sz w:val="24"/>
          <w:szCs w:val="24"/>
          <w:vertAlign w:val="superscript"/>
        </w:rPr>
        <w:t>er</w:t>
      </w:r>
      <w:r w:rsidRPr="00812855">
        <w:rPr>
          <w:rFonts w:ascii="Times New Roman" w:hAnsi="Times New Roman" w:cs="Times New Roman"/>
          <w:i/>
          <w:sz w:val="24"/>
          <w:szCs w:val="24"/>
        </w:rPr>
        <w:t xml:space="preserve"> (détruire, détourner, soustraire, reproduire, porter à la connaissance). Le deuxième alinéa de ce même article envisage également les atteintes passives (laisser détruire, détourner, soustraire, reproduire ou divulguer). Enfin, l'alinéa 3 traite des actes d'imprudence ou de négligence.</w:t>
      </w:r>
    </w:p>
    <w:p w:rsidR="00521A5E" w:rsidRPr="00521A5E" w:rsidRDefault="00521A5E" w:rsidP="0098524B">
      <w:pPr>
        <w:spacing w:line="360" w:lineRule="auto"/>
        <w:jc w:val="both"/>
        <w:rPr>
          <w:rFonts w:ascii="Times New Roman" w:hAnsi="Times New Roman" w:cs="Times New Roman"/>
          <w:b/>
          <w:bCs/>
          <w:i/>
          <w:sz w:val="24"/>
          <w:szCs w:val="24"/>
        </w:rPr>
      </w:pPr>
      <w:r>
        <w:rPr>
          <w:rFonts w:ascii="Times New Roman" w:hAnsi="Times New Roman" w:cs="Times New Roman"/>
          <w:i/>
          <w:sz w:val="24"/>
          <w:szCs w:val="24"/>
        </w:rPr>
        <w:t xml:space="preserve">Cf. </w:t>
      </w:r>
      <w:r w:rsidRPr="00CC60A1">
        <w:rPr>
          <w:rFonts w:ascii="Times New Roman" w:hAnsi="Times New Roman" w:cs="Times New Roman"/>
          <w:b/>
          <w:bCs/>
          <w:i/>
          <w:sz w:val="24"/>
          <w:szCs w:val="24"/>
        </w:rPr>
        <w:t>Répertoire de droit pénal et de procédure pénale</w:t>
      </w:r>
      <w:r>
        <w:rPr>
          <w:rFonts w:ascii="Times New Roman" w:hAnsi="Times New Roman" w:cs="Times New Roman"/>
          <w:b/>
          <w:bCs/>
          <w:i/>
          <w:sz w:val="24"/>
          <w:szCs w:val="24"/>
        </w:rPr>
        <w:t xml:space="preserve">, « atteintes aux intérêts fondamentaux de la nation »,  </w:t>
      </w:r>
      <w:r w:rsidRPr="00CC60A1">
        <w:rPr>
          <w:rFonts w:ascii="Times New Roman" w:hAnsi="Times New Roman" w:cs="Times New Roman"/>
          <w:b/>
          <w:bCs/>
          <w:i/>
          <w:sz w:val="24"/>
          <w:szCs w:val="24"/>
        </w:rPr>
        <w:t>Serge RAYNE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Officier de gendarmerie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Direction générale de la gendarmerie nationale</w:t>
      </w:r>
      <w:r>
        <w:rPr>
          <w:rFonts w:ascii="Times New Roman" w:hAnsi="Times New Roman" w:cs="Times New Roman"/>
          <w:b/>
          <w:bCs/>
          <w:i/>
          <w:sz w:val="24"/>
          <w:szCs w:val="24"/>
        </w:rPr>
        <w:t xml:space="preserve">, </w:t>
      </w:r>
      <w:r w:rsidRPr="00CC60A1">
        <w:rPr>
          <w:rFonts w:ascii="Times New Roman" w:hAnsi="Times New Roman" w:cs="Times New Roman"/>
          <w:b/>
          <w:bCs/>
          <w:i/>
          <w:sz w:val="24"/>
          <w:szCs w:val="24"/>
        </w:rPr>
        <w:t>janvier 2009</w:t>
      </w:r>
      <w:r>
        <w:rPr>
          <w:rFonts w:ascii="Times New Roman" w:hAnsi="Times New Roman" w:cs="Times New Roman"/>
          <w:b/>
          <w:bCs/>
          <w:i/>
          <w:sz w:val="24"/>
          <w:szCs w:val="24"/>
        </w:rPr>
        <w:t>.</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62</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de la détention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criminelle de cinq à dix ans,</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tout Sénégalais ou étranger</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autre que ceux visés à l'article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61 qui, sans intention de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trahison ou d'espionnage: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lastRenderedPageBreak/>
        <w:t>1) S'assurera, étant sans</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qualité, la possession d'un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renseignement, objet,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document ou procédé qui doit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être tenu secret dans l'intérêt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de la défense nationale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dont la connaissance pourrait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conduire à la découverte d'un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secret de la défense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nationale;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2) Détruira, soustraira,</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laissera détruire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soustraire, reproduira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laissera reproduire un tel</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renseignement, objet,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document ou procédé;</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3) Portera ou laissera</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porter à la connaissance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d'une personne non qualifiée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du public un tel</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renseignement, objet,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document ou procédé, ou en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aura étendu la divulgation.</w:t>
      </w:r>
    </w:p>
    <w:p w:rsidR="00812855" w:rsidRPr="00812855" w:rsidRDefault="00812855" w:rsidP="0098524B">
      <w:pPr>
        <w:spacing w:line="360" w:lineRule="auto"/>
        <w:jc w:val="both"/>
        <w:rPr>
          <w:rFonts w:ascii="Times New Roman" w:hAnsi="Times New Roman" w:cs="Times New Roman"/>
          <w:b/>
          <w:i/>
          <w:sz w:val="24"/>
          <w:szCs w:val="24"/>
          <w:u w:val="single"/>
        </w:rPr>
      </w:pPr>
      <w:r w:rsidRPr="00812855">
        <w:rPr>
          <w:rFonts w:ascii="Times New Roman" w:hAnsi="Times New Roman" w:cs="Times New Roman"/>
          <w:b/>
          <w:i/>
          <w:sz w:val="24"/>
          <w:szCs w:val="24"/>
          <w:u w:val="single"/>
        </w:rPr>
        <w:t>DOCTRINE</w:t>
      </w:r>
    </w:p>
    <w:p w:rsidR="00CD031F" w:rsidRPr="006E2E01" w:rsidRDefault="00CD031F" w:rsidP="00CD031F">
      <w:pPr>
        <w:spacing w:line="360" w:lineRule="auto"/>
        <w:jc w:val="both"/>
        <w:rPr>
          <w:rFonts w:ascii="Times New Roman" w:hAnsi="Times New Roman" w:cs="Times New Roman"/>
          <w:b/>
          <w:bCs/>
          <w:i/>
          <w:sz w:val="24"/>
          <w:szCs w:val="24"/>
        </w:rPr>
      </w:pPr>
      <w:r w:rsidRPr="006E2E01">
        <w:rPr>
          <w:rFonts w:ascii="Times New Roman" w:hAnsi="Times New Roman" w:cs="Times New Roman"/>
          <w:b/>
          <w:bCs/>
          <w:i/>
          <w:sz w:val="24"/>
          <w:szCs w:val="24"/>
        </w:rPr>
        <w:t>Atteintes au secret par un non-dépositaire</w:t>
      </w:r>
    </w:p>
    <w:p w:rsidR="00CD031F" w:rsidRPr="006E2E01" w:rsidRDefault="00CD031F" w:rsidP="00CD031F">
      <w:pPr>
        <w:spacing w:line="360" w:lineRule="auto"/>
        <w:jc w:val="both"/>
        <w:rPr>
          <w:rFonts w:ascii="Times New Roman" w:hAnsi="Times New Roman" w:cs="Times New Roman"/>
          <w:i/>
          <w:sz w:val="24"/>
          <w:szCs w:val="24"/>
        </w:rPr>
      </w:pPr>
      <w:r w:rsidRPr="006E2E01">
        <w:rPr>
          <w:rFonts w:ascii="Times New Roman" w:hAnsi="Times New Roman" w:cs="Times New Roman"/>
          <w:b/>
          <w:bCs/>
          <w:i/>
          <w:sz w:val="24"/>
          <w:szCs w:val="24"/>
        </w:rPr>
        <w:t>118. </w:t>
      </w:r>
      <w:r w:rsidRPr="006E2E01">
        <w:rPr>
          <w:rFonts w:ascii="Times New Roman" w:hAnsi="Times New Roman" w:cs="Times New Roman"/>
          <w:i/>
          <w:sz w:val="24"/>
          <w:szCs w:val="24"/>
        </w:rPr>
        <w:t>L'article 413-11 du code pénal vise justement les atteintes commises par toute personne n'étant pas dépositaire. Il importe peu que cette personne ait cette qualité pour d'autres secrets. Il est par ailleurs indifférent que celle-ci soit de nationalité française ou étrangère. Les faits reprochés à ce tiers correspondent sensiblement à ceux imputables au dépositaire lui-même : s'assurer la possession d'un des objets couverts par le secret, par exemple en se faisant remettre par le dépositaire, soit d'accord avec lui, soit en le trompant par des moyens frauduleux, détruire ces mêmes objets, les soustraire, notamment après avoir pénétré indûment dans un local interdit, les reproduire de quelque façon que ce soit, les porter à la connaissance du public ou d'une personne non qualifiée.</w:t>
      </w:r>
    </w:p>
    <w:p w:rsidR="00CD031F" w:rsidRPr="006E2E01" w:rsidRDefault="00CD031F" w:rsidP="00CD031F">
      <w:pPr>
        <w:spacing w:line="360" w:lineRule="auto"/>
        <w:jc w:val="both"/>
        <w:rPr>
          <w:rFonts w:ascii="Times New Roman" w:hAnsi="Times New Roman" w:cs="Times New Roman"/>
          <w:i/>
          <w:sz w:val="24"/>
          <w:szCs w:val="24"/>
        </w:rPr>
      </w:pPr>
      <w:r w:rsidRPr="006E2E01">
        <w:rPr>
          <w:rFonts w:ascii="Times New Roman" w:hAnsi="Times New Roman" w:cs="Times New Roman"/>
          <w:b/>
          <w:bCs/>
          <w:i/>
          <w:sz w:val="24"/>
          <w:szCs w:val="24"/>
        </w:rPr>
        <w:t>119. </w:t>
      </w:r>
      <w:r w:rsidRPr="006E2E01">
        <w:rPr>
          <w:rFonts w:ascii="Times New Roman" w:hAnsi="Times New Roman" w:cs="Times New Roman"/>
          <w:i/>
          <w:sz w:val="24"/>
          <w:szCs w:val="24"/>
        </w:rPr>
        <w:t>À la différence de l'article 76-2</w:t>
      </w:r>
      <w:r w:rsidRPr="006E2E01">
        <w:rPr>
          <w:rFonts w:ascii="Times New Roman" w:hAnsi="Times New Roman" w:cs="Times New Roman"/>
          <w:i/>
          <w:sz w:val="24"/>
          <w:szCs w:val="24"/>
          <w:vertAlign w:val="superscript"/>
        </w:rPr>
        <w:t>o</w:t>
      </w:r>
      <w:r w:rsidRPr="006E2E01">
        <w:rPr>
          <w:rFonts w:ascii="Times New Roman" w:hAnsi="Times New Roman" w:cs="Times New Roman"/>
          <w:i/>
          <w:sz w:val="24"/>
          <w:szCs w:val="24"/>
        </w:rPr>
        <w:t xml:space="preserve"> de l'ancien code, l'article 413-11 n'incrimine pas le fait, de laisser soustraire, laisser reproduire ou laisser porter à la connaissance du public un renseignement, objet ou document secret. De fait, un tiers ne serait pas coupable s'il laisse divulguer par une autre personne un secret dont celle-ci a eu fortuitement connaissance. Pareillement, les dispositions de l'article 76-3</w:t>
      </w:r>
      <w:r w:rsidRPr="006E2E01">
        <w:rPr>
          <w:rFonts w:ascii="Times New Roman" w:hAnsi="Times New Roman" w:cs="Times New Roman"/>
          <w:i/>
          <w:sz w:val="24"/>
          <w:szCs w:val="24"/>
          <w:vertAlign w:val="superscript"/>
        </w:rPr>
        <w:t>o</w:t>
      </w:r>
      <w:r w:rsidRPr="006E2E01">
        <w:rPr>
          <w:rFonts w:ascii="Times New Roman" w:hAnsi="Times New Roman" w:cs="Times New Roman"/>
          <w:i/>
          <w:sz w:val="24"/>
          <w:szCs w:val="24"/>
        </w:rPr>
        <w:t xml:space="preserve"> de l'ancien code ne sont pas réintroduites. Ainsi, le fait d'étendre la divulgation d'un secret à des personnes autres que celles qu'une première divulgation a déjà touchées n'est plus punissable. Par exemple, le texte actuel frapperait le journaliste qui a révélé aux lecteurs de son quotidien des renseignements classifiés secrets, mais ne concernerait pas les autres rédacteurs ayant repris l'information.</w:t>
      </w:r>
    </w:p>
    <w:p w:rsidR="00CD031F" w:rsidRDefault="00CC60A1" w:rsidP="0098524B">
      <w:pPr>
        <w:spacing w:line="360" w:lineRule="auto"/>
        <w:jc w:val="both"/>
        <w:rPr>
          <w:rFonts w:ascii="Times New Roman" w:hAnsi="Times New Roman" w:cs="Times New Roman"/>
          <w:b/>
          <w:bCs/>
          <w:i/>
          <w:sz w:val="24"/>
          <w:szCs w:val="24"/>
        </w:rPr>
      </w:pPr>
      <w:r>
        <w:rPr>
          <w:rFonts w:ascii="Times New Roman" w:hAnsi="Times New Roman" w:cs="Times New Roman"/>
          <w:i/>
          <w:sz w:val="24"/>
          <w:szCs w:val="24"/>
        </w:rPr>
        <w:lastRenderedPageBreak/>
        <w:t xml:space="preserve">Cf. </w:t>
      </w:r>
      <w:r w:rsidRPr="00CC60A1">
        <w:rPr>
          <w:rFonts w:ascii="Times New Roman" w:hAnsi="Times New Roman" w:cs="Times New Roman"/>
          <w:b/>
          <w:bCs/>
          <w:i/>
          <w:sz w:val="24"/>
          <w:szCs w:val="24"/>
        </w:rPr>
        <w:t>Répertoire de droit pénal et de procédure pénale</w:t>
      </w:r>
      <w:r>
        <w:rPr>
          <w:rFonts w:ascii="Times New Roman" w:hAnsi="Times New Roman" w:cs="Times New Roman"/>
          <w:b/>
          <w:bCs/>
          <w:i/>
          <w:sz w:val="24"/>
          <w:szCs w:val="24"/>
        </w:rPr>
        <w:t>,</w:t>
      </w:r>
      <w:r w:rsidR="00521A5E">
        <w:rPr>
          <w:rFonts w:ascii="Times New Roman" w:hAnsi="Times New Roman" w:cs="Times New Roman"/>
          <w:b/>
          <w:bCs/>
          <w:i/>
          <w:sz w:val="24"/>
          <w:szCs w:val="24"/>
        </w:rPr>
        <w:t xml:space="preserve"> « atteintes aux intérêts fondamentaux de la nation »,  </w:t>
      </w:r>
      <w:r w:rsidRPr="00CC60A1">
        <w:rPr>
          <w:rFonts w:ascii="Times New Roman" w:hAnsi="Times New Roman" w:cs="Times New Roman"/>
          <w:b/>
          <w:bCs/>
          <w:i/>
          <w:sz w:val="24"/>
          <w:szCs w:val="24"/>
        </w:rPr>
        <w:t>Serge RAYNE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Officier de gendarmerie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Direction générale de la gendarmerie nationale</w:t>
      </w:r>
      <w:r>
        <w:rPr>
          <w:rFonts w:ascii="Times New Roman" w:hAnsi="Times New Roman" w:cs="Times New Roman"/>
          <w:b/>
          <w:bCs/>
          <w:i/>
          <w:sz w:val="24"/>
          <w:szCs w:val="24"/>
        </w:rPr>
        <w:t xml:space="preserve">, </w:t>
      </w:r>
      <w:r w:rsidRPr="00CC60A1">
        <w:rPr>
          <w:rFonts w:ascii="Times New Roman" w:hAnsi="Times New Roman" w:cs="Times New Roman"/>
          <w:b/>
          <w:bCs/>
          <w:i/>
          <w:sz w:val="24"/>
          <w:szCs w:val="24"/>
        </w:rPr>
        <w:t>janvier 2009</w:t>
      </w:r>
      <w:r w:rsidR="00521A5E">
        <w:rPr>
          <w:rFonts w:ascii="Times New Roman" w:hAnsi="Times New Roman" w:cs="Times New Roman"/>
          <w:b/>
          <w:bCs/>
          <w:i/>
          <w:sz w:val="24"/>
          <w:szCs w:val="24"/>
        </w:rPr>
        <w:t>.</w:t>
      </w:r>
    </w:p>
    <w:p w:rsidR="00CF6350" w:rsidRDefault="00CF6350" w:rsidP="0098524B">
      <w:pPr>
        <w:spacing w:line="360" w:lineRule="auto"/>
        <w:jc w:val="both"/>
        <w:rPr>
          <w:rFonts w:ascii="Times New Roman" w:hAnsi="Times New Roman" w:cs="Times New Roman"/>
          <w:b/>
          <w:bCs/>
          <w:i/>
          <w:sz w:val="24"/>
          <w:szCs w:val="24"/>
        </w:rPr>
      </w:pPr>
    </w:p>
    <w:p w:rsidR="00CF6350" w:rsidRPr="00521A5E" w:rsidRDefault="00CF6350" w:rsidP="0098524B">
      <w:pPr>
        <w:spacing w:line="360" w:lineRule="auto"/>
        <w:jc w:val="both"/>
        <w:rPr>
          <w:rFonts w:ascii="Times New Roman" w:hAnsi="Times New Roman" w:cs="Times New Roman"/>
          <w:b/>
          <w:bCs/>
          <w:i/>
          <w:sz w:val="24"/>
          <w:szCs w:val="24"/>
        </w:rPr>
      </w:pP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63</w:t>
      </w:r>
    </w:p>
    <w:p w:rsidR="00472B2E" w:rsidRPr="00521A5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de la détention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criminelle de dix à vingt ans,</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tout Sénégalais ou étranger</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 sans autorisation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préalable de l'autorité</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compétente, livrera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communiquera à une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personne agissant pour le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compte d'une puissance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d'une entreprise étrangère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soit une invention intéressant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la défense nationale, soit des</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renseignements, études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procédés de fabrication se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rapportant à une invention de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ce genre ou à une application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industrielle intéressant la</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défense nationale.</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64</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d'un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emprisonnement d'un à cinq</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ans tout Sénégalais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étranger qui, sans intention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de trahison ou d'espionnage,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aura porté à la connaissance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d'une personne non qualifiée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du public une information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militaire non rendue publique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par l'autorité compétente et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dont la divulgation est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manifestement de nature à</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nuire à la défense nationale.</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65</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de la détention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criminelle de dix à vingt ans,</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tout Sénégalais ou étranger</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1) S'introduira sous un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déguisement ou un faux nom,</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en dissimulant sa qualité</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sa nationalité, dans une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forteresse, ou ouvrage, poste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arsenal, dans les travaux,</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camps, bivouacs ou</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cantonnements d'une armée,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dans un bâtiment de guerre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un bâtiment de commerce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employé pour la défense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nationale, dans un appareil de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navigation aérienne ou dans</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un véhicule militaire armé,</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dans un établissement</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militaire ou maritime de toute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nature ou dans un</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établissement ou chantier</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intéressant la défense</w:t>
      </w:r>
      <w:r w:rsidR="00225993"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nationale;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lastRenderedPageBreak/>
        <w:t>2) Même sans se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déguiser, ou sans dissimuler</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son nom, sa qualité ou sa</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nationalité, aura organisé</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d'une manière occulte un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moyen quelconque de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correspondance ou de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transmission à distance de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nature à nuire à la défense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nationale;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3) Survolera le territoire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sénégalais au moyen d'un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aéronef étranger sans y être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autorisé par une convention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diplomatique ou une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permission de l'autorité</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sénégalaise;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4) Dans une zone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d'interdiction fixée par</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l'autorité militaire ou maritime,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exécutera, sans l'autorisation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de celle-ci, des dessins,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photographies, levés ou</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opérations photographiques à</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l'intérieur ou autour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places, ouvrages, postes ou</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établissements militaires et</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maritimes ou intéressant la</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défense nationale;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5) Séjournera, au mépris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d'une interdiction édictée par</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décret, dans un rayon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déterminé autour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ouvrages fortifiés ou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établissements militaires ou</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maritimes;</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6) Communiquera à une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personne non qualifiée ou</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rendra publics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renseignements relatifs soit</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aux mesures prises pour</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découvrir et arrêter les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auteurs et les complices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crimes ou délits définis aux</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sections 1 et Il du présent</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chapitre, soit à la marche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poursuites et de l'instruction,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soit aux débats devant les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juridictions de jugement.</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Toutefois en temps de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paix, les auteurs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infractions prévues aux</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alinéas 30, 40, 50 et 60 ci</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dessus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seront punis d'un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emprisonnement d'un à cinq</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ans et d'une amende de 100.000 à 2.000.000 de francs.</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66</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de la détention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criminelle de dix à vingt ans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quiconque: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1) Aura, par des actes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hostiles non approuvés par le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Gouvernement, exposé le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Sénégal à une déclaration de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guerre;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2) Aura, par des actes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non approuvés par le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Gouvernement, exposé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Sénégalais à subir des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représailles;</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3) Entretiendra avec les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agents d'une puissance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étrangère des intelligences de</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nature à nuire à la situation</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militaire ou diplomatique du</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Sénégal ou à ses intérêts</w:t>
      </w:r>
      <w:r w:rsidR="00091429"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économiques essentiels.</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67</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lastRenderedPageBreak/>
        <w:t>Sera puni de la détention</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criminelle de dix à vingt ans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quiconque en temps de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guerre:</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1) Entretiendra, sans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autorisation du Gouvernement,</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une correspondance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des relations avec les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sujets ou les agents d'une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puissance ennemie;</w:t>
      </w:r>
    </w:p>
    <w:p w:rsidR="00B6204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2) Fera, directement ou</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par intermédiaire, des actes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de commerce avec les sujets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ou les agents d'une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puissance ennemie, au</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mépris des prohibitions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édictées.</w:t>
      </w:r>
    </w:p>
    <w:p w:rsidR="00CF6350" w:rsidRPr="008D789E" w:rsidRDefault="00CF6350" w:rsidP="0098524B">
      <w:pPr>
        <w:spacing w:line="360" w:lineRule="auto"/>
        <w:jc w:val="both"/>
        <w:rPr>
          <w:rFonts w:ascii="Times New Roman" w:hAnsi="Times New Roman" w:cs="Times New Roman"/>
          <w:b/>
          <w:sz w:val="24"/>
          <w:szCs w:val="24"/>
        </w:rPr>
      </w:pP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68</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d'un</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emprisonnement d'un à cinq</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ans et d'une amende de 100.000 à 1.000.000 de francs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quiconque, en temps de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guerre, accomplira</w:t>
      </w:r>
      <w:r w:rsidR="00DA6DAA"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sciemment un acte de nature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à nuire à la défense nationale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non prévu et réprimé par un</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autre texte.</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69</w:t>
      </w:r>
    </w:p>
    <w:p w:rsidR="00B6204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de la détention</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criminelle de cinq à dix ans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quiconque, en temps de paix,</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en vue de nuire à la défense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nationale, aura entravé la</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circulation de matériel</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militaire ou aura, par quelque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moyen que ce soit, provoqué,</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facilité ou organisé une action</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violente ou concertée ayant</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ces entraves pour but ou pour</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résultat.</w:t>
      </w:r>
    </w:p>
    <w:p w:rsidR="008D789E" w:rsidRPr="008D789E" w:rsidRDefault="008D789E" w:rsidP="0098524B">
      <w:pPr>
        <w:spacing w:line="360" w:lineRule="auto"/>
        <w:jc w:val="both"/>
        <w:rPr>
          <w:rFonts w:ascii="Times New Roman" w:hAnsi="Times New Roman" w:cs="Times New Roman"/>
          <w:b/>
          <w:i/>
          <w:sz w:val="24"/>
          <w:szCs w:val="24"/>
          <w:u w:val="single"/>
        </w:rPr>
      </w:pPr>
      <w:r w:rsidRPr="008D789E">
        <w:rPr>
          <w:rFonts w:ascii="Times New Roman" w:hAnsi="Times New Roman" w:cs="Times New Roman"/>
          <w:b/>
          <w:i/>
          <w:sz w:val="24"/>
          <w:szCs w:val="24"/>
          <w:u w:val="single"/>
        </w:rPr>
        <w:t>DOCTRINE</w:t>
      </w:r>
    </w:p>
    <w:p w:rsidR="00AD15E6" w:rsidRPr="006A2010" w:rsidRDefault="00AD15E6" w:rsidP="00AD15E6">
      <w:pPr>
        <w:spacing w:line="360" w:lineRule="auto"/>
        <w:jc w:val="both"/>
        <w:rPr>
          <w:rFonts w:ascii="Times New Roman" w:hAnsi="Times New Roman" w:cs="Times New Roman"/>
          <w:b/>
          <w:bCs/>
          <w:i/>
          <w:sz w:val="24"/>
          <w:szCs w:val="24"/>
        </w:rPr>
      </w:pPr>
      <w:r w:rsidRPr="006A2010">
        <w:rPr>
          <w:rFonts w:ascii="Times New Roman" w:hAnsi="Times New Roman" w:cs="Times New Roman"/>
          <w:b/>
          <w:bCs/>
          <w:i/>
          <w:sz w:val="24"/>
          <w:szCs w:val="24"/>
        </w:rPr>
        <w:t>Entrave au fonctionnement normal du matériel et entrave au mouvement de personnel ou matériel militaire</w:t>
      </w:r>
    </w:p>
    <w:p w:rsidR="00AD15E6" w:rsidRPr="006A2010" w:rsidRDefault="00AD15E6" w:rsidP="00AD15E6">
      <w:pPr>
        <w:spacing w:line="360" w:lineRule="auto"/>
        <w:jc w:val="both"/>
        <w:rPr>
          <w:rFonts w:ascii="Times New Roman" w:hAnsi="Times New Roman" w:cs="Times New Roman"/>
          <w:i/>
          <w:sz w:val="24"/>
          <w:szCs w:val="24"/>
        </w:rPr>
      </w:pPr>
      <w:r w:rsidRPr="006A2010">
        <w:rPr>
          <w:rFonts w:ascii="Times New Roman" w:hAnsi="Times New Roman" w:cs="Times New Roman"/>
          <w:b/>
          <w:bCs/>
          <w:i/>
          <w:sz w:val="24"/>
          <w:szCs w:val="24"/>
        </w:rPr>
        <w:t>86. </w:t>
      </w:r>
      <w:r w:rsidRPr="006A2010">
        <w:rPr>
          <w:rFonts w:ascii="Times New Roman" w:hAnsi="Times New Roman" w:cs="Times New Roman"/>
          <w:i/>
          <w:sz w:val="24"/>
          <w:szCs w:val="24"/>
        </w:rPr>
        <w:t>L'article 413-2 du code pénal contient deux infractions. La première, nouvelle, consiste en un simple obstacle au fonctionnement du matériel militaire par quelque moyen que ce soit, sans opérer sa destruction, par exemple la mise en panne d'un système de traitement de données sans détruire les fichiers, ce en quoi l'entrave se distingue du sabotage plus sévèrement puni. Il est convenu d'entendre l'expression « matériel militaire » comme tout objet mobilier susceptible d'être transporté afin de supposer l'obstacle mis à sa circulation. Cet objet appelé à circuler par voie routière, ferroviaire, fluviale, maritime ou aérienne n'appartient pas nécessairement aux armées. La jurisprudence a ainsi considéré les trains de la SNCF, transportant exclusivement des réservistes appelés à servir en Algérie, en tant que matériel militaire (Crim. 3 avr. 1957, Bull. crim. n</w:t>
      </w:r>
      <w:r w:rsidRPr="006A2010">
        <w:rPr>
          <w:rFonts w:ascii="Times New Roman" w:hAnsi="Times New Roman" w:cs="Times New Roman"/>
          <w:i/>
          <w:sz w:val="24"/>
          <w:szCs w:val="24"/>
          <w:vertAlign w:val="superscript"/>
        </w:rPr>
        <w:t>o</w:t>
      </w:r>
      <w:r w:rsidRPr="006A2010">
        <w:rPr>
          <w:rFonts w:ascii="Times New Roman" w:hAnsi="Times New Roman" w:cs="Times New Roman"/>
          <w:i/>
          <w:sz w:val="24"/>
          <w:szCs w:val="24"/>
        </w:rPr>
        <w:t> 320).</w:t>
      </w:r>
    </w:p>
    <w:p w:rsidR="00AD15E6" w:rsidRPr="006A2010" w:rsidRDefault="00AD15E6" w:rsidP="00AD15E6">
      <w:pPr>
        <w:spacing w:line="360" w:lineRule="auto"/>
        <w:jc w:val="both"/>
        <w:rPr>
          <w:rFonts w:ascii="Times New Roman" w:hAnsi="Times New Roman" w:cs="Times New Roman"/>
          <w:i/>
          <w:sz w:val="24"/>
          <w:szCs w:val="24"/>
        </w:rPr>
      </w:pPr>
      <w:r w:rsidRPr="006A2010">
        <w:rPr>
          <w:rFonts w:ascii="Times New Roman" w:hAnsi="Times New Roman" w:cs="Times New Roman"/>
          <w:b/>
          <w:bCs/>
          <w:i/>
          <w:sz w:val="24"/>
          <w:szCs w:val="24"/>
        </w:rPr>
        <w:lastRenderedPageBreak/>
        <w:t>87. </w:t>
      </w:r>
      <w:r w:rsidRPr="006A2010">
        <w:rPr>
          <w:rFonts w:ascii="Times New Roman" w:hAnsi="Times New Roman" w:cs="Times New Roman"/>
          <w:i/>
          <w:sz w:val="24"/>
          <w:szCs w:val="24"/>
        </w:rPr>
        <w:t>L'infraction prévue à l'alinéa 2 de l'article 413-2 était déjà réprimée dans l'ancien code pénal par l'article 71-3</w:t>
      </w:r>
      <w:r w:rsidRPr="006A2010">
        <w:rPr>
          <w:rFonts w:ascii="Times New Roman" w:hAnsi="Times New Roman" w:cs="Times New Roman"/>
          <w:i/>
          <w:sz w:val="24"/>
          <w:szCs w:val="24"/>
          <w:vertAlign w:val="superscript"/>
        </w:rPr>
        <w:t>o</w:t>
      </w:r>
      <w:r w:rsidRPr="006A2010">
        <w:rPr>
          <w:rFonts w:ascii="Times New Roman" w:hAnsi="Times New Roman" w:cs="Times New Roman"/>
          <w:i/>
          <w:sz w:val="24"/>
          <w:szCs w:val="24"/>
        </w:rPr>
        <w:t xml:space="preserve"> pour le temps de guerre et par l'article 83 pour le temps de paix. Elle désigne une entrave au mouvement de personnel ou de matériel militaire (arrêter ou retarder un train transportant uniquement des soldats, un convoi routier, un bâtiment de transport maritime ou un aéronef acheminant du matériel militaire). Cette entrave peut admettre également toute abstention volontaire ayant pour but d'empêcher que la circulation du personnel ou du matériel se réalise dans les conditions prévues par l'autorité militaire. Enfin, la commission de ces deux infractions est toujours liée à la volonté des individus qui ont participé à l'entrave de nuire à la défense nationale.</w:t>
      </w:r>
    </w:p>
    <w:p w:rsidR="00AD15E6" w:rsidRPr="00521A5E" w:rsidRDefault="00521A5E" w:rsidP="0098524B">
      <w:pPr>
        <w:spacing w:line="360" w:lineRule="auto"/>
        <w:jc w:val="both"/>
        <w:rPr>
          <w:rFonts w:ascii="Times New Roman" w:hAnsi="Times New Roman" w:cs="Times New Roman"/>
          <w:b/>
          <w:bCs/>
          <w:i/>
          <w:sz w:val="24"/>
          <w:szCs w:val="24"/>
        </w:rPr>
      </w:pPr>
      <w:r>
        <w:rPr>
          <w:rFonts w:ascii="Times New Roman" w:hAnsi="Times New Roman" w:cs="Times New Roman"/>
          <w:i/>
          <w:sz w:val="24"/>
          <w:szCs w:val="24"/>
        </w:rPr>
        <w:t xml:space="preserve">Cf. </w:t>
      </w:r>
      <w:r w:rsidRPr="00CC60A1">
        <w:rPr>
          <w:rFonts w:ascii="Times New Roman" w:hAnsi="Times New Roman" w:cs="Times New Roman"/>
          <w:b/>
          <w:bCs/>
          <w:i/>
          <w:sz w:val="24"/>
          <w:szCs w:val="24"/>
        </w:rPr>
        <w:t>Répertoire de droit pénal et de procédure pénale</w:t>
      </w:r>
      <w:r>
        <w:rPr>
          <w:rFonts w:ascii="Times New Roman" w:hAnsi="Times New Roman" w:cs="Times New Roman"/>
          <w:b/>
          <w:bCs/>
          <w:i/>
          <w:sz w:val="24"/>
          <w:szCs w:val="24"/>
        </w:rPr>
        <w:t xml:space="preserve">, « atteintes aux intérêts fondamentaux de la nation »,  </w:t>
      </w:r>
      <w:r w:rsidRPr="00CC60A1">
        <w:rPr>
          <w:rFonts w:ascii="Times New Roman" w:hAnsi="Times New Roman" w:cs="Times New Roman"/>
          <w:b/>
          <w:bCs/>
          <w:i/>
          <w:sz w:val="24"/>
          <w:szCs w:val="24"/>
        </w:rPr>
        <w:t>Serge RAYNE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Officier de gendarmerie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Direction générale de la gendarmerie nationale</w:t>
      </w:r>
      <w:r>
        <w:rPr>
          <w:rFonts w:ascii="Times New Roman" w:hAnsi="Times New Roman" w:cs="Times New Roman"/>
          <w:b/>
          <w:bCs/>
          <w:i/>
          <w:sz w:val="24"/>
          <w:szCs w:val="24"/>
        </w:rPr>
        <w:t xml:space="preserve">, </w:t>
      </w:r>
      <w:r w:rsidRPr="00CC60A1">
        <w:rPr>
          <w:rFonts w:ascii="Times New Roman" w:hAnsi="Times New Roman" w:cs="Times New Roman"/>
          <w:b/>
          <w:bCs/>
          <w:i/>
          <w:sz w:val="24"/>
          <w:szCs w:val="24"/>
        </w:rPr>
        <w:t>janvier 2009</w:t>
      </w:r>
      <w:r>
        <w:rPr>
          <w:rFonts w:ascii="Times New Roman" w:hAnsi="Times New Roman" w:cs="Times New Roman"/>
          <w:b/>
          <w:bCs/>
          <w:i/>
          <w:sz w:val="24"/>
          <w:szCs w:val="24"/>
        </w:rPr>
        <w:t>.</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70</w:t>
      </w:r>
    </w:p>
    <w:p w:rsidR="00B6204E" w:rsidRPr="00CB60BD" w:rsidRDefault="00B6204E" w:rsidP="0098524B">
      <w:pPr>
        <w:spacing w:line="360" w:lineRule="auto"/>
        <w:jc w:val="both"/>
        <w:rPr>
          <w:rFonts w:ascii="Times New Roman" w:hAnsi="Times New Roman" w:cs="Times New Roman"/>
          <w:b/>
          <w:sz w:val="24"/>
          <w:szCs w:val="24"/>
        </w:rPr>
      </w:pPr>
      <w:r w:rsidRPr="00CB60BD">
        <w:rPr>
          <w:rFonts w:ascii="Times New Roman" w:hAnsi="Times New Roman" w:cs="Times New Roman"/>
          <w:b/>
          <w:sz w:val="24"/>
          <w:szCs w:val="24"/>
        </w:rPr>
        <w:t>(Loi n° 77-84 du</w:t>
      </w:r>
      <w:r w:rsidR="00382B51" w:rsidRPr="00CB60BD">
        <w:rPr>
          <w:rFonts w:ascii="Times New Roman" w:hAnsi="Times New Roman" w:cs="Times New Roman"/>
          <w:b/>
          <w:sz w:val="24"/>
          <w:szCs w:val="24"/>
        </w:rPr>
        <w:t xml:space="preserve"> </w:t>
      </w:r>
      <w:r w:rsidRPr="00CB60BD">
        <w:rPr>
          <w:rFonts w:ascii="Times New Roman" w:hAnsi="Times New Roman" w:cs="Times New Roman"/>
          <w:b/>
          <w:sz w:val="24"/>
          <w:szCs w:val="24"/>
        </w:rPr>
        <w:t>10 août 1977)</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de la détention</w:t>
      </w:r>
      <w:r w:rsidR="007F3E6A"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criminelle de cinq à dix ans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quiconque, en temps de paix,</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aura participé en</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connaissance de cause, par</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quelque moyen que ce soit, à</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une entreprise de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démoralisation de l'Armée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ayant pour but:</w:t>
      </w:r>
    </w:p>
    <w:p w:rsidR="00B6204E" w:rsidRPr="008D789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 soit de nuire à la</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défense nationale ou à la</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sûreté de l'Etat;</w:t>
      </w:r>
    </w:p>
    <w:p w:rsidR="00B6204E" w:rsidRPr="008D789E" w:rsidRDefault="00B6204E" w:rsidP="0098524B">
      <w:pPr>
        <w:spacing w:line="360" w:lineRule="auto"/>
        <w:jc w:val="both"/>
        <w:rPr>
          <w:rFonts w:ascii="Times New Roman" w:hAnsi="Times New Roman" w:cs="Times New Roman"/>
          <w:b/>
          <w:i/>
          <w:sz w:val="24"/>
          <w:szCs w:val="24"/>
        </w:rPr>
      </w:pPr>
      <w:r w:rsidRPr="008D789E">
        <w:rPr>
          <w:rFonts w:ascii="Times New Roman" w:hAnsi="Times New Roman" w:cs="Times New Roman"/>
          <w:b/>
          <w:sz w:val="24"/>
          <w:szCs w:val="24"/>
        </w:rPr>
        <w:t>- soit de la détourner du</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respect de la Constitution, et</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notamment de l'obéissance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qu'elle doit au Président de la</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République, Chef de l'Armée.</w:t>
      </w:r>
    </w:p>
    <w:p w:rsidR="00472B2E" w:rsidRPr="006A2010" w:rsidRDefault="00472B2E" w:rsidP="0098524B">
      <w:pPr>
        <w:spacing w:line="360" w:lineRule="auto"/>
        <w:jc w:val="both"/>
        <w:rPr>
          <w:rFonts w:ascii="Times New Roman" w:hAnsi="Times New Roman" w:cs="Times New Roman"/>
          <w:b/>
          <w:i/>
          <w:sz w:val="24"/>
          <w:szCs w:val="24"/>
          <w:u w:val="single"/>
        </w:rPr>
      </w:pPr>
      <w:r w:rsidRPr="006A2010">
        <w:rPr>
          <w:rFonts w:ascii="Times New Roman" w:hAnsi="Times New Roman" w:cs="Times New Roman"/>
          <w:b/>
          <w:i/>
          <w:sz w:val="24"/>
          <w:szCs w:val="24"/>
          <w:u w:val="single"/>
        </w:rPr>
        <w:t>DOCTRINE</w:t>
      </w:r>
    </w:p>
    <w:p w:rsidR="00472B2E" w:rsidRPr="006A2010" w:rsidRDefault="00472B2E" w:rsidP="00472B2E">
      <w:pPr>
        <w:spacing w:line="360" w:lineRule="auto"/>
        <w:jc w:val="both"/>
        <w:rPr>
          <w:rFonts w:ascii="Times New Roman" w:hAnsi="Times New Roman" w:cs="Times New Roman"/>
          <w:b/>
          <w:bCs/>
          <w:i/>
          <w:sz w:val="24"/>
          <w:szCs w:val="24"/>
        </w:rPr>
      </w:pPr>
      <w:r w:rsidRPr="006A2010">
        <w:rPr>
          <w:rFonts w:ascii="Times New Roman" w:hAnsi="Times New Roman" w:cs="Times New Roman"/>
          <w:b/>
          <w:bCs/>
          <w:i/>
          <w:sz w:val="24"/>
          <w:szCs w:val="24"/>
        </w:rPr>
        <w:t>Participation à une entreprise de démoralisation de l'armée</w:t>
      </w:r>
    </w:p>
    <w:p w:rsidR="00472B2E" w:rsidRDefault="00472B2E" w:rsidP="0098524B">
      <w:pPr>
        <w:spacing w:line="360" w:lineRule="auto"/>
        <w:jc w:val="both"/>
        <w:rPr>
          <w:rFonts w:ascii="Times New Roman" w:hAnsi="Times New Roman" w:cs="Times New Roman"/>
          <w:i/>
          <w:sz w:val="24"/>
          <w:szCs w:val="24"/>
        </w:rPr>
      </w:pPr>
      <w:r w:rsidRPr="006A2010">
        <w:rPr>
          <w:rFonts w:ascii="Times New Roman" w:hAnsi="Times New Roman" w:cs="Times New Roman"/>
          <w:b/>
          <w:bCs/>
          <w:i/>
          <w:sz w:val="24"/>
          <w:szCs w:val="24"/>
        </w:rPr>
        <w:t>91. </w:t>
      </w:r>
      <w:r w:rsidRPr="006A2010">
        <w:rPr>
          <w:rFonts w:ascii="Times New Roman" w:hAnsi="Times New Roman" w:cs="Times New Roman"/>
          <w:i/>
          <w:sz w:val="24"/>
          <w:szCs w:val="24"/>
        </w:rPr>
        <w:t xml:space="preserve">Originairement, l'incrimination réprimant cette action de démoralisation était prévue par le décret-loi du 9 avril 1940 (JO 10 avr.) qui l'assimilait à une trahison ou à un espionnage, en fonction de la nationalité de l'auteur. L'ordonnance du 4 juin 1960 a ensuite introduit la distinction entre le temps de paix et celui de guerre et excluait la démoralisation de la nation pour se limiter à celle de l'armée. Inspiré par ces précédents textes, l'article 413-4 du code pénal vise « le fait de participer à une entreprise de démoralisation de l'armée en vue de nuire à la défense nationale ». Ainsi, deux éléments sont requis pour que cette participation </w:t>
      </w:r>
      <w:r w:rsidRPr="006A2010">
        <w:rPr>
          <w:rFonts w:ascii="Times New Roman" w:hAnsi="Times New Roman" w:cs="Times New Roman"/>
          <w:i/>
          <w:sz w:val="24"/>
          <w:szCs w:val="24"/>
        </w:rPr>
        <w:lastRenderedPageBreak/>
        <w:t>soit punissable : l'existence d'une « entreprise » ayant pour finalité de démoraliser l'armée et la volonté de nuire à la défense nationale.</w:t>
      </w:r>
    </w:p>
    <w:p w:rsidR="0005419E" w:rsidRPr="00521A5E" w:rsidRDefault="00521A5E" w:rsidP="009762AA">
      <w:pPr>
        <w:spacing w:line="360" w:lineRule="auto"/>
        <w:jc w:val="both"/>
        <w:rPr>
          <w:rFonts w:ascii="Times New Roman" w:hAnsi="Times New Roman" w:cs="Times New Roman"/>
          <w:b/>
          <w:bCs/>
          <w:i/>
          <w:sz w:val="24"/>
          <w:szCs w:val="24"/>
        </w:rPr>
      </w:pPr>
      <w:r>
        <w:rPr>
          <w:rFonts w:ascii="Times New Roman" w:hAnsi="Times New Roman" w:cs="Times New Roman"/>
          <w:i/>
          <w:sz w:val="24"/>
          <w:szCs w:val="24"/>
        </w:rPr>
        <w:t xml:space="preserve">Cf. </w:t>
      </w:r>
      <w:r w:rsidRPr="00CC60A1">
        <w:rPr>
          <w:rFonts w:ascii="Times New Roman" w:hAnsi="Times New Roman" w:cs="Times New Roman"/>
          <w:b/>
          <w:bCs/>
          <w:i/>
          <w:sz w:val="24"/>
          <w:szCs w:val="24"/>
        </w:rPr>
        <w:t>Répertoire de droit pénal et de procédure pénale</w:t>
      </w:r>
      <w:r>
        <w:rPr>
          <w:rFonts w:ascii="Times New Roman" w:hAnsi="Times New Roman" w:cs="Times New Roman"/>
          <w:b/>
          <w:bCs/>
          <w:i/>
          <w:sz w:val="24"/>
          <w:szCs w:val="24"/>
        </w:rPr>
        <w:t xml:space="preserve">, « atteintes aux intérêts fondamentaux de la nation »,  </w:t>
      </w:r>
      <w:r w:rsidRPr="00CC60A1">
        <w:rPr>
          <w:rFonts w:ascii="Times New Roman" w:hAnsi="Times New Roman" w:cs="Times New Roman"/>
          <w:b/>
          <w:bCs/>
          <w:i/>
          <w:sz w:val="24"/>
          <w:szCs w:val="24"/>
        </w:rPr>
        <w:t>Serge RAYNE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Officier de gendarmerie</w:t>
      </w:r>
      <w:r>
        <w:rPr>
          <w:rFonts w:ascii="Times New Roman" w:hAnsi="Times New Roman" w:cs="Times New Roman"/>
          <w:b/>
          <w:bCs/>
          <w:i/>
          <w:sz w:val="24"/>
          <w:szCs w:val="24"/>
        </w:rPr>
        <w:t xml:space="preserve">, </w:t>
      </w:r>
      <w:r w:rsidRPr="00CC60A1">
        <w:rPr>
          <w:rFonts w:ascii="Times New Roman" w:hAnsi="Times New Roman" w:cs="Times New Roman"/>
          <w:b/>
          <w:bCs/>
          <w:i/>
          <w:iCs/>
          <w:sz w:val="24"/>
          <w:szCs w:val="24"/>
        </w:rPr>
        <w:t>Direction générale de la gendarmerie nationale</w:t>
      </w:r>
      <w:r>
        <w:rPr>
          <w:rFonts w:ascii="Times New Roman" w:hAnsi="Times New Roman" w:cs="Times New Roman"/>
          <w:b/>
          <w:bCs/>
          <w:i/>
          <w:sz w:val="24"/>
          <w:szCs w:val="24"/>
        </w:rPr>
        <w:t xml:space="preserve">, </w:t>
      </w:r>
      <w:r w:rsidRPr="00CC60A1">
        <w:rPr>
          <w:rFonts w:ascii="Times New Roman" w:hAnsi="Times New Roman" w:cs="Times New Roman"/>
          <w:b/>
          <w:bCs/>
          <w:i/>
          <w:sz w:val="24"/>
          <w:szCs w:val="24"/>
        </w:rPr>
        <w:t>janvier 2009</w:t>
      </w:r>
      <w:r>
        <w:rPr>
          <w:rFonts w:ascii="Times New Roman" w:hAnsi="Times New Roman" w:cs="Times New Roman"/>
          <w:b/>
          <w:bCs/>
          <w:i/>
          <w:sz w:val="24"/>
          <w:szCs w:val="24"/>
        </w:rPr>
        <w:t>.</w:t>
      </w:r>
    </w:p>
    <w:p w:rsidR="00B6204E" w:rsidRPr="00F93435" w:rsidRDefault="00B6204E" w:rsidP="0098524B">
      <w:pPr>
        <w:spacing w:line="360" w:lineRule="auto"/>
        <w:jc w:val="both"/>
        <w:rPr>
          <w:rFonts w:ascii="Times New Roman" w:hAnsi="Times New Roman" w:cs="Times New Roman"/>
          <w:b/>
          <w:bCs/>
          <w:sz w:val="24"/>
          <w:szCs w:val="24"/>
        </w:rPr>
      </w:pPr>
      <w:r w:rsidRPr="00F93435">
        <w:rPr>
          <w:rFonts w:ascii="Times New Roman" w:hAnsi="Times New Roman" w:cs="Times New Roman"/>
          <w:b/>
          <w:bCs/>
          <w:sz w:val="24"/>
          <w:szCs w:val="24"/>
        </w:rPr>
        <w:t>Article 71</w:t>
      </w:r>
    </w:p>
    <w:p w:rsidR="00C2195E" w:rsidRDefault="00B6204E" w:rsidP="0098524B">
      <w:pPr>
        <w:spacing w:line="360" w:lineRule="auto"/>
        <w:jc w:val="both"/>
        <w:rPr>
          <w:rFonts w:ascii="Times New Roman" w:hAnsi="Times New Roman" w:cs="Times New Roman"/>
          <w:b/>
          <w:sz w:val="24"/>
          <w:szCs w:val="24"/>
        </w:rPr>
      </w:pPr>
      <w:r w:rsidRPr="008D789E">
        <w:rPr>
          <w:rFonts w:ascii="Times New Roman" w:hAnsi="Times New Roman" w:cs="Times New Roman"/>
          <w:b/>
          <w:sz w:val="24"/>
          <w:szCs w:val="24"/>
        </w:rPr>
        <w:t>Sera puni d'un emprisonnement</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d'un à cinq ans et</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d'une amende de 100.000 à</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1.000.000 de francs</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quiconque, en temps de paix,</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enrôlera les soldats pour le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compte d'une puissance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étrangère, en territoire</w:t>
      </w:r>
      <w:r w:rsidR="00382B51" w:rsidRPr="008D789E">
        <w:rPr>
          <w:rFonts w:ascii="Times New Roman" w:hAnsi="Times New Roman" w:cs="Times New Roman"/>
          <w:b/>
          <w:sz w:val="24"/>
          <w:szCs w:val="24"/>
        </w:rPr>
        <w:t xml:space="preserve"> </w:t>
      </w:r>
      <w:r w:rsidRPr="008D789E">
        <w:rPr>
          <w:rFonts w:ascii="Times New Roman" w:hAnsi="Times New Roman" w:cs="Times New Roman"/>
          <w:b/>
          <w:sz w:val="24"/>
          <w:szCs w:val="24"/>
        </w:rPr>
        <w:t>sénégalais.</w:t>
      </w: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p w:rsidR="009762AA" w:rsidRDefault="009762AA" w:rsidP="0098524B">
      <w:pPr>
        <w:spacing w:line="360" w:lineRule="auto"/>
        <w:jc w:val="both"/>
        <w:rPr>
          <w:rFonts w:ascii="Times New Roman" w:hAnsi="Times New Roman" w:cs="Times New Roman"/>
          <w:b/>
          <w:sz w:val="24"/>
          <w:szCs w:val="24"/>
        </w:rPr>
      </w:pPr>
    </w:p>
    <w:sdt>
      <w:sdtPr>
        <w:rPr>
          <w:rFonts w:asciiTheme="minorHAnsi" w:eastAsiaTheme="minorEastAsia" w:hAnsiTheme="minorHAnsi" w:cstheme="minorBidi"/>
          <w:b w:val="0"/>
          <w:bCs w:val="0"/>
          <w:i w:val="0"/>
          <w:color w:val="auto"/>
          <w:sz w:val="22"/>
          <w:szCs w:val="22"/>
        </w:rPr>
        <w:id w:val="1445187063"/>
        <w:docPartObj>
          <w:docPartGallery w:val="Table of Contents"/>
          <w:docPartUnique/>
        </w:docPartObj>
      </w:sdtPr>
      <w:sdtEndPr/>
      <w:sdtContent>
        <w:p w:rsidR="009762AA" w:rsidRPr="009762AA" w:rsidRDefault="009762AA">
          <w:pPr>
            <w:pStyle w:val="En-ttedetabledesmatires"/>
          </w:pPr>
          <w:r w:rsidRPr="009762AA">
            <w:t>Table des matières</w:t>
          </w:r>
        </w:p>
        <w:p w:rsidR="009762AA" w:rsidRPr="009762AA" w:rsidRDefault="009762AA">
          <w:pPr>
            <w:pStyle w:val="TM1"/>
            <w:tabs>
              <w:tab w:val="right" w:leader="dot" w:pos="9062"/>
            </w:tabs>
            <w:rPr>
              <w:rFonts w:asciiTheme="majorBidi" w:hAnsiTheme="majorBidi" w:cstheme="majorBidi"/>
              <w:noProof/>
            </w:rPr>
          </w:pPr>
          <w:r w:rsidRPr="009762AA">
            <w:rPr>
              <w:rFonts w:asciiTheme="majorBidi" w:hAnsiTheme="majorBidi" w:cstheme="majorBidi"/>
            </w:rPr>
            <w:fldChar w:fldCharType="begin"/>
          </w:r>
          <w:r w:rsidRPr="009762AA">
            <w:rPr>
              <w:rFonts w:asciiTheme="majorBidi" w:hAnsiTheme="majorBidi" w:cstheme="majorBidi"/>
            </w:rPr>
            <w:instrText xml:space="preserve"> TOC \o "1-3" \h \z \u </w:instrText>
          </w:r>
          <w:r w:rsidRPr="009762AA">
            <w:rPr>
              <w:rFonts w:asciiTheme="majorBidi" w:hAnsiTheme="majorBidi" w:cstheme="majorBidi"/>
            </w:rPr>
            <w:fldChar w:fldCharType="separate"/>
          </w:r>
          <w:hyperlink w:anchor="_Toc521059382" w:history="1">
            <w:r w:rsidRPr="009762AA">
              <w:rPr>
                <w:rStyle w:val="Lienhypertexte"/>
                <w:rFonts w:asciiTheme="majorBidi" w:hAnsiTheme="majorBidi" w:cstheme="majorBidi"/>
                <w:iCs/>
                <w:noProof/>
              </w:rPr>
              <w:t>LIVRE DEUXIEME : DES PERSONNES PUNISSABLES, EXCUSABLES OU RESPONSABLES POUR CRIMES OU POUR DELITS</w:t>
            </w:r>
            <w:r w:rsidRPr="009762AA">
              <w:rPr>
                <w:rFonts w:asciiTheme="majorBidi" w:hAnsiTheme="majorBidi" w:cstheme="majorBidi"/>
                <w:noProof/>
                <w:webHidden/>
              </w:rPr>
              <w:tab/>
            </w:r>
            <w:r w:rsidRPr="009762AA">
              <w:rPr>
                <w:rFonts w:asciiTheme="majorBidi" w:hAnsiTheme="majorBidi" w:cstheme="majorBidi"/>
                <w:noProof/>
                <w:webHidden/>
              </w:rPr>
              <w:fldChar w:fldCharType="begin"/>
            </w:r>
            <w:r w:rsidRPr="009762AA">
              <w:rPr>
                <w:rFonts w:asciiTheme="majorBidi" w:hAnsiTheme="majorBidi" w:cstheme="majorBidi"/>
                <w:noProof/>
                <w:webHidden/>
              </w:rPr>
              <w:instrText xml:space="preserve"> PAGEREF _Toc521059382 \h </w:instrText>
            </w:r>
            <w:r w:rsidRPr="009762AA">
              <w:rPr>
                <w:rFonts w:asciiTheme="majorBidi" w:hAnsiTheme="majorBidi" w:cstheme="majorBidi"/>
                <w:noProof/>
                <w:webHidden/>
              </w:rPr>
            </w:r>
            <w:r w:rsidRPr="009762AA">
              <w:rPr>
                <w:rFonts w:asciiTheme="majorBidi" w:hAnsiTheme="majorBidi" w:cstheme="majorBidi"/>
                <w:noProof/>
                <w:webHidden/>
              </w:rPr>
              <w:fldChar w:fldCharType="separate"/>
            </w:r>
            <w:r w:rsidRPr="009762AA">
              <w:rPr>
                <w:rFonts w:asciiTheme="majorBidi" w:hAnsiTheme="majorBidi" w:cstheme="majorBidi"/>
                <w:noProof/>
                <w:webHidden/>
              </w:rPr>
              <w:t>1</w:t>
            </w:r>
            <w:r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83" w:history="1">
            <w:r w:rsidR="009762AA" w:rsidRPr="009762AA">
              <w:rPr>
                <w:rStyle w:val="Lienhypertexte"/>
                <w:rFonts w:asciiTheme="majorBidi" w:hAnsiTheme="majorBidi" w:cstheme="majorBidi"/>
                <w:noProof/>
              </w:rPr>
              <w:t>Les complices d'un crime ou d'un délit seront punis de la même peine que les auteurs même de ce crime ou de ce délit, sauf les cas où la loi en aurait disposé autrement.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_Toc521059383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84" w:history="1">
            <w:r w:rsidR="009762AA" w:rsidRPr="009762AA">
              <w:rPr>
                <w:rStyle w:val="Lienhypertexte"/>
                <w:rFonts w:asciiTheme="majorBidi" w:hAnsiTheme="majorBidi" w:cstheme="majorBidi"/>
                <w:noProof/>
              </w:rPr>
              <w:t>Cour d’Appel de Dakar, arrêt n° 232 du 19/02/ 2013,  Ministère Public et Mouhamed Said SOUL et Ibrahima DIALLO contre Ousmane DRAME et Boubacar SECK.</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_Toc521059384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85" w:history="1">
            <w:r w:rsidR="009762AA" w:rsidRPr="009762AA">
              <w:rPr>
                <w:rStyle w:val="Lienhypertexte"/>
                <w:rFonts w:asciiTheme="majorBidi" w:hAnsiTheme="majorBidi" w:cstheme="majorBidi"/>
                <w:noProof/>
              </w:rPr>
              <w:t>Cour d’Appel de Dakar, arrêt n° 124 du 29/01/ 2013,  Ministère Public et Fatou dite Fama SAGNANE contre Abdourahmane Yacine KONDE et Michel DIEDIOU.</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_Toc521059385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86" w:history="1">
            <w:r w:rsidR="009762AA" w:rsidRPr="009762AA">
              <w:rPr>
                <w:rStyle w:val="Lienhypertexte"/>
                <w:rFonts w:asciiTheme="majorBidi" w:hAnsiTheme="majorBidi" w:cstheme="majorBidi"/>
                <w:noProof/>
              </w:rPr>
              <w:t>Cour d’Appel de Dakar, arrêt n° 873 du 20/06/ 2014,  Ministère Public et Elimane DIAW contre Malick SOW  et Seny KA.</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_Toc521059386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87" w:history="1">
            <w:r w:rsidR="009762AA" w:rsidRPr="009762AA">
              <w:rPr>
                <w:rStyle w:val="Lienhypertexte"/>
                <w:rFonts w:asciiTheme="majorBidi" w:hAnsiTheme="majorBidi" w:cstheme="majorBidi"/>
                <w:noProof/>
              </w:rPr>
              <w:t>Cour d’Appel de Dakar, arrêt n° 366 du 17/03/ 2015,  Ministère Public et Crédit Mutuel de Dakar contre Hamady Moustapha NIANG et autres.</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_Toc521059387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2</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88" w:history="1">
            <w:r w:rsidR="009762AA" w:rsidRPr="009762AA">
              <w:rPr>
                <w:rStyle w:val="Lienhypertexte"/>
                <w:rFonts w:asciiTheme="majorBidi" w:hAnsiTheme="majorBidi" w:cstheme="majorBidi"/>
                <w:noProof/>
              </w:rPr>
              <w:t>Cour d’Appel de Dakar, arrêt n° 227 du 06 mars 2009,  Ministère Public et DHL International Mali contre Bokeline THIAM.</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_Toc521059388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2</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89" w:history="1">
            <w:r w:rsidR="009762AA" w:rsidRPr="009762AA">
              <w:rPr>
                <w:rStyle w:val="Lienhypertexte"/>
                <w:rFonts w:asciiTheme="majorBidi" w:hAnsiTheme="majorBidi" w:cstheme="majorBidi"/>
                <w:noProof/>
              </w:rPr>
              <w:t>Cour d’Appel de Dakar, arrêt n° 615 du 05/05/ 2015,  Ministère Public et Safiétou DIENE contre Abdoulaye DIALLO.</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_Toc521059389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2</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0" w:history="1">
            <w:r w:rsidR="009762AA" w:rsidRPr="009762AA">
              <w:rPr>
                <w:rStyle w:val="Lienhypertexte"/>
                <w:rFonts w:asciiTheme="majorBidi" w:hAnsiTheme="majorBidi" w:cstheme="majorBidi"/>
                <w:noProof/>
              </w:rPr>
              <w:t>Cour d’Appel de Saint-Louis, ARRET  N° 25 DU 12 MARS 2010, Ministère Public et Fatou SARR et Cheikh Tidiane LÔ CONTRE Hassane SOW.</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_Toc521059390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3</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1" w:history="1">
            <w:r w:rsidR="009762AA" w:rsidRPr="009762AA">
              <w:rPr>
                <w:rStyle w:val="Lienhypertexte"/>
                <w:rFonts w:asciiTheme="majorBidi" w:hAnsiTheme="majorBidi" w:cstheme="majorBidi"/>
                <w:noProof/>
              </w:rPr>
              <w:t>Ministère Public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eastAsia="Calibri" w:hAnsiTheme="majorBidi" w:cstheme="majorBidi"/>
                <w:noProof/>
              </w:rPr>
              <w:t>Papa Cissé MBAYE et autres</w:t>
            </w:r>
            <w:r w:rsidR="009762AA" w:rsidRPr="009762AA">
              <w:rPr>
                <w:rStyle w:val="Lienhypertexte"/>
                <w:rFonts w:asciiTheme="majorBidi" w:hAnsiTheme="majorBidi" w:cstheme="majorBidi"/>
                <w:noProof/>
              </w:rPr>
              <w:t>, Arrêt de la Cour d’Assises de Dakar N° 24  du 18 mai 2012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_Toc521059391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3</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2" w:history="1">
            <w:r w:rsidR="009762AA" w:rsidRPr="009762AA">
              <w:rPr>
                <w:rStyle w:val="Lienhypertexte"/>
                <w:rFonts w:asciiTheme="majorBidi" w:hAnsiTheme="majorBidi" w:cstheme="majorBidi"/>
                <w:noProof/>
              </w:rPr>
              <w:t>Cour d’Appel de Dakar, arrêt n° 366 du 17/03/ 2015,  Ministère Public et Crédit Mutuel de Dakar contre Hamady Moustapha NIANG et autres.</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_Toc521059392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3</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3" w:history="1">
            <w:r w:rsidR="009762AA" w:rsidRPr="009762AA">
              <w:rPr>
                <w:rStyle w:val="Lienhypertexte"/>
                <w:rFonts w:asciiTheme="majorBidi" w:hAnsiTheme="majorBidi" w:cstheme="majorBidi"/>
                <w:noProof/>
              </w:rPr>
              <w:t>La question du caractère direct de l'acte de complicité : le problème de la complicité de complicité</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_Toc521059393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5</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4" w:history="1">
            <w:r w:rsidR="009762AA" w:rsidRPr="009762AA">
              <w:rPr>
                <w:rStyle w:val="Lienhypertexte"/>
                <w:rFonts w:asciiTheme="majorBidi" w:hAnsiTheme="majorBidi" w:cstheme="majorBidi"/>
                <w:noProof/>
              </w:rPr>
              <w:t>Ministère Public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eastAsia="Calibri" w:hAnsiTheme="majorBidi" w:cstheme="majorBidi"/>
                <w:noProof/>
              </w:rPr>
              <w:t>Latyr MBAYE</w:t>
            </w:r>
            <w:r w:rsidR="009762AA" w:rsidRPr="009762AA">
              <w:rPr>
                <w:rStyle w:val="Lienhypertexte"/>
                <w:rFonts w:asciiTheme="majorBidi" w:hAnsiTheme="majorBidi" w:cstheme="majorBidi"/>
                <w:noProof/>
              </w:rPr>
              <w:t>, Arrêt de la Cour d’Assises de Dakar N° 40 du 28 avril 2011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_Toc521059394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6</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5" w:history="1">
            <w:r w:rsidR="009762AA" w:rsidRPr="009762AA">
              <w:rPr>
                <w:rStyle w:val="Lienhypertexte"/>
                <w:rFonts w:asciiTheme="majorBidi" w:hAnsiTheme="majorBidi" w:cstheme="majorBidi"/>
                <w:noProof/>
              </w:rPr>
              <w:t>Ministère Public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eastAsia="Calibri" w:hAnsiTheme="majorBidi" w:cstheme="majorBidi"/>
                <w:noProof/>
              </w:rPr>
              <w:t>Papa Cissé MBAYE et autres</w:t>
            </w:r>
            <w:r w:rsidR="009762AA" w:rsidRPr="009762AA">
              <w:rPr>
                <w:rStyle w:val="Lienhypertexte"/>
                <w:rFonts w:asciiTheme="majorBidi" w:hAnsiTheme="majorBidi" w:cstheme="majorBidi"/>
                <w:noProof/>
              </w:rPr>
              <w:t>, Arrêt de la Cour d’Assises de Dakar N° 24  du 18 mai 2012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_Toc521059395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7</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6" w:history="1">
            <w:r w:rsidR="009762AA" w:rsidRPr="009762AA">
              <w:rPr>
                <w:rStyle w:val="Lienhypertexte"/>
                <w:rFonts w:asciiTheme="majorBidi" w:hAnsiTheme="majorBidi" w:cstheme="majorBidi"/>
                <w:noProof/>
              </w:rPr>
              <w:t>Ministère Public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eastAsia="Calibri" w:hAnsiTheme="majorBidi" w:cstheme="majorBidi"/>
                <w:noProof/>
              </w:rPr>
              <w:t>Diouma SOW et Ousmane DIAMANKA</w:t>
            </w:r>
            <w:r w:rsidR="009762AA" w:rsidRPr="009762AA">
              <w:rPr>
                <w:rStyle w:val="Lienhypertexte"/>
                <w:rFonts w:asciiTheme="majorBidi" w:hAnsiTheme="majorBidi" w:cstheme="majorBidi"/>
                <w:noProof/>
              </w:rPr>
              <w:t>, Arrêt de la Cour d’Appel  de Dakar N° 1593  du 04 décembre 2013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_Toc521059396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7</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7" w:history="1">
            <w:r w:rsidR="009762AA" w:rsidRPr="009762AA">
              <w:rPr>
                <w:rStyle w:val="Lienhypertexte"/>
                <w:rFonts w:asciiTheme="majorBidi" w:hAnsiTheme="majorBidi" w:cstheme="majorBidi"/>
                <w:noProof/>
              </w:rPr>
              <w:t>Ministère Public et Touba DIOP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eastAsia="Calibri" w:hAnsiTheme="majorBidi" w:cstheme="majorBidi"/>
                <w:noProof/>
              </w:rPr>
              <w:t>Ousmane KONTE et</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eastAsia="Calibri" w:hAnsiTheme="majorBidi" w:cstheme="majorBidi"/>
                <w:noProof/>
              </w:rPr>
              <w:t xml:space="preserve">Cheikh NIANG </w:t>
            </w:r>
            <w:r w:rsidR="009762AA" w:rsidRPr="009762AA">
              <w:rPr>
                <w:rStyle w:val="Lienhypertexte"/>
                <w:rFonts w:asciiTheme="majorBidi" w:hAnsiTheme="majorBidi" w:cstheme="majorBidi"/>
                <w:noProof/>
              </w:rPr>
              <w:t>,</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hAnsiTheme="majorBidi" w:cstheme="majorBidi"/>
                <w:noProof/>
              </w:rPr>
              <w:t>Jugement N°51 du 04 juillet  2017 de la chambre criminelle du TGIHC de Dakar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_Toc521059397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7</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8" w:history="1">
            <w:r w:rsidR="009762AA" w:rsidRPr="009762AA">
              <w:rPr>
                <w:rStyle w:val="Lienhypertexte"/>
                <w:rFonts w:asciiTheme="majorBidi" w:hAnsiTheme="majorBidi" w:cstheme="majorBidi"/>
                <w:noProof/>
              </w:rPr>
              <w:t>Cour d’Appel de Dakar, arrêt n° 202 du 12/02/2013,  Ministère Public et Abdou Salam FALL contre Oumar  SENE.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_Toc521059398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9</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399" w:history="1">
            <w:r w:rsidR="009762AA" w:rsidRPr="009762AA">
              <w:rPr>
                <w:rStyle w:val="Lienhypertexte"/>
                <w:rFonts w:asciiTheme="majorBidi" w:hAnsiTheme="majorBidi" w:cstheme="majorBidi"/>
                <w:noProof/>
              </w:rPr>
              <w:t>Cour d’Appel de Dakar, arrêt n° 1139 du 30/07/2013,  Ministère Public et Dame CISS contre Adama DIALLO.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_Toc521059399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9</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0" w:history="1">
            <w:r w:rsidR="009762AA" w:rsidRPr="009762AA">
              <w:rPr>
                <w:rStyle w:val="Lienhypertexte"/>
                <w:rFonts w:asciiTheme="majorBidi" w:hAnsiTheme="majorBidi" w:cstheme="majorBidi"/>
                <w:noProof/>
              </w:rPr>
              <w:t xml:space="preserve">Ministère Public contre </w:t>
            </w:r>
            <w:r w:rsidR="009762AA" w:rsidRPr="009762AA">
              <w:rPr>
                <w:rStyle w:val="Lienhypertexte"/>
                <w:rFonts w:asciiTheme="majorBidi" w:eastAsia="Calibri" w:hAnsiTheme="majorBidi" w:cstheme="majorBidi"/>
                <w:noProof/>
              </w:rPr>
              <w:t>Oumy DIOUF</w:t>
            </w:r>
            <w:r w:rsidR="009762AA" w:rsidRPr="009762AA">
              <w:rPr>
                <w:rStyle w:val="Lienhypertexte"/>
                <w:rFonts w:asciiTheme="majorBidi" w:hAnsiTheme="majorBidi" w:cstheme="majorBidi"/>
                <w:noProof/>
              </w:rPr>
              <w:t>, Arrêt de la Cour d’Assises de Saint-Louis N° 25 du 20 juin 2012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_Toc521059400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9</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1" w:history="1">
            <w:r w:rsidR="009762AA" w:rsidRPr="009762AA">
              <w:rPr>
                <w:rStyle w:val="Lienhypertexte"/>
                <w:rFonts w:asciiTheme="majorBidi" w:hAnsiTheme="majorBidi" w:cstheme="majorBidi"/>
                <w:noProof/>
              </w:rPr>
              <w:t xml:space="preserve">Ministère Public contre Daouda DIOP, Arrêt Chambre d’Accusation de la Cour d’Appel de Dakar N° </w:t>
            </w:r>
            <w:r w:rsidR="009762AA" w:rsidRPr="009762AA">
              <w:rPr>
                <w:rStyle w:val="Lienhypertexte"/>
                <w:rFonts w:asciiTheme="majorBidi" w:eastAsia="Calibri" w:hAnsiTheme="majorBidi" w:cstheme="majorBidi"/>
                <w:noProof/>
              </w:rPr>
              <w:t>117</w:t>
            </w:r>
            <w:r w:rsidR="009762AA" w:rsidRPr="009762AA">
              <w:rPr>
                <w:rStyle w:val="Lienhypertexte"/>
                <w:rFonts w:asciiTheme="majorBidi" w:hAnsiTheme="majorBidi" w:cstheme="majorBidi"/>
                <w:noProof/>
              </w:rPr>
              <w:t xml:space="preserve"> du </w:t>
            </w:r>
            <w:r w:rsidR="009762AA" w:rsidRPr="009762AA">
              <w:rPr>
                <w:rStyle w:val="Lienhypertexte"/>
                <w:rFonts w:asciiTheme="majorBidi" w:eastAsia="Calibri" w:hAnsiTheme="majorBidi" w:cstheme="majorBidi"/>
                <w:noProof/>
              </w:rPr>
              <w:t>22/05/201</w:t>
            </w:r>
            <w:r w:rsidR="009762AA" w:rsidRPr="009762AA">
              <w:rPr>
                <w:rStyle w:val="Lienhypertexte"/>
                <w:rFonts w:asciiTheme="majorBidi" w:hAnsiTheme="majorBidi" w:cstheme="majorBidi"/>
                <w:noProof/>
              </w:rPr>
              <w:t>4.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_Toc521059401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9</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2" w:history="1">
            <w:r w:rsidR="009762AA" w:rsidRPr="009762AA">
              <w:rPr>
                <w:rStyle w:val="Lienhypertexte"/>
                <w:rFonts w:asciiTheme="majorBidi" w:hAnsiTheme="majorBidi" w:cstheme="majorBidi"/>
                <w:noProof/>
              </w:rPr>
              <w:t>Ministère Public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hAnsiTheme="majorBidi" w:cstheme="majorBidi"/>
                <w:noProof/>
              </w:rPr>
              <w:t xml:space="preserve">Aly HACHEM, Arrêt Cour d'Appel de Dakar N° </w:t>
            </w:r>
            <w:r w:rsidR="009762AA" w:rsidRPr="009762AA">
              <w:rPr>
                <w:rStyle w:val="Lienhypertexte"/>
                <w:rFonts w:asciiTheme="majorBidi" w:eastAsia="Calibri" w:hAnsiTheme="majorBidi" w:cstheme="majorBidi"/>
                <w:noProof/>
              </w:rPr>
              <w:t>496</w:t>
            </w:r>
            <w:r w:rsidR="009762AA" w:rsidRPr="009762AA">
              <w:rPr>
                <w:rStyle w:val="Lienhypertexte"/>
                <w:rFonts w:asciiTheme="majorBidi" w:hAnsiTheme="majorBidi" w:cstheme="majorBidi"/>
                <w:noProof/>
              </w:rPr>
              <w:t xml:space="preserve"> du 25/06/2001.</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_Toc521059402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10</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3" w:history="1">
            <w:r w:rsidR="009762AA" w:rsidRPr="009762AA">
              <w:rPr>
                <w:rStyle w:val="Lienhypertexte"/>
                <w:rFonts w:asciiTheme="majorBidi" w:hAnsiTheme="majorBidi" w:cstheme="majorBidi"/>
                <w:noProof/>
              </w:rPr>
              <w:t>Ministère Public et Mamadou Moctar DIENE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eastAsia="Calibri" w:hAnsiTheme="majorBidi" w:cstheme="majorBidi"/>
                <w:noProof/>
              </w:rPr>
              <w:t>Pape Ousmane TOURE</w:t>
            </w:r>
            <w:r w:rsidR="009762AA" w:rsidRPr="009762AA">
              <w:rPr>
                <w:rStyle w:val="Lienhypertexte"/>
                <w:rFonts w:asciiTheme="majorBidi" w:hAnsiTheme="majorBidi" w:cstheme="majorBidi"/>
                <w:noProof/>
              </w:rPr>
              <w:t>,</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hAnsiTheme="majorBidi" w:cstheme="majorBidi"/>
                <w:noProof/>
              </w:rPr>
              <w:t>Jugement N°537 du 25 avril  2017 de la 3e chambre correctionnelle du TGIHC de Dakar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_Toc521059403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10</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4" w:history="1">
            <w:r w:rsidR="009762AA" w:rsidRPr="009762AA">
              <w:rPr>
                <w:rStyle w:val="Lienhypertexte"/>
                <w:rFonts w:asciiTheme="majorBidi" w:hAnsiTheme="majorBidi" w:cstheme="majorBidi"/>
                <w:noProof/>
              </w:rPr>
              <w:t>Ministère Public et Mouhamed Ramadan BA (Mouhamadou Woury BA, civilement responsable) contre</w:t>
            </w:r>
            <w:r w:rsidR="009762AA" w:rsidRPr="009762AA">
              <w:rPr>
                <w:rStyle w:val="Lienhypertexte"/>
                <w:rFonts w:asciiTheme="majorBidi" w:eastAsia="Times New Roman" w:hAnsiTheme="majorBidi" w:cstheme="majorBidi"/>
                <w:noProof/>
              </w:rPr>
              <w:t xml:space="preserve"> </w:t>
            </w:r>
            <w:r w:rsidR="009762AA" w:rsidRPr="009762AA">
              <w:rPr>
                <w:rStyle w:val="Lienhypertexte"/>
                <w:rFonts w:asciiTheme="majorBidi" w:hAnsiTheme="majorBidi" w:cstheme="majorBidi"/>
                <w:noProof/>
              </w:rPr>
              <w:t>Mohamed MBAYE, Jugement N° 148/2016 du 31 mars 2017 rendu par le TPE de Dakar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_Toc521059404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11</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5" w:history="1">
            <w:r w:rsidR="009762AA" w:rsidRPr="009762AA">
              <w:rPr>
                <w:rStyle w:val="Lienhypertexte"/>
                <w:rFonts w:asciiTheme="majorBidi" w:hAnsiTheme="majorBidi" w:cstheme="majorBidi"/>
                <w:noProof/>
              </w:rPr>
              <w:t>Cour d’Appel de Thiès  (chambre des mineurs), arrêt n° 06 du 17/04/2013,  Ministère Public et Yaya DEMBELE contre Mamadou BA es qualité de Amadou BA, son fils âgé  de 15 ans.</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_Toc521059405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11</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6" w:history="1">
            <w:r w:rsidR="009762AA" w:rsidRPr="009762AA">
              <w:rPr>
                <w:rStyle w:val="Lienhypertexte"/>
                <w:rFonts w:asciiTheme="majorBidi" w:hAnsiTheme="majorBidi" w:cstheme="majorBidi"/>
                <w:noProof/>
              </w:rPr>
              <w:t>Cour d’Appel de Dakar (chambre des mineurs), arrêt n° 01 du 15/06/2016,  Ministère Public et Khady DIAGNE es qualité de sa fille Sokhna DIENE contre Moussa DIOP (Mansour NDIAYE, son civilement responsable).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_Toc521059406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12</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7" w:history="1">
            <w:r w:rsidR="009762AA" w:rsidRPr="009762AA">
              <w:rPr>
                <w:rStyle w:val="Lienhypertexte"/>
                <w:rFonts w:asciiTheme="majorBidi" w:hAnsiTheme="majorBidi" w:cstheme="majorBidi"/>
                <w:noProof/>
              </w:rPr>
              <w:t>Cour d’Appel de Dakar (chambre des mineurs), arrêt n° 01 du 28/02/2018,  Ministère Public et Aminata NGOM, représentée par sa mère Ndèye THIARE  contre Saer SAMB (Cheikh DIOP SAMB, son  civilement responsable)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_Toc521059407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12</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8" w:history="1">
            <w:r w:rsidR="009762AA" w:rsidRPr="009762AA">
              <w:rPr>
                <w:rStyle w:val="Lienhypertexte"/>
                <w:rFonts w:asciiTheme="majorBidi" w:hAnsiTheme="majorBidi" w:cstheme="majorBidi"/>
                <w:noProof/>
              </w:rPr>
              <w:t>Ministère Public et Ababacar FALL contre Babacar KANE, Jugement N°06/2016 du 13 Janvier 2017 rendu par le TPE de Dakar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_Toc521059408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12</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09" w:history="1">
            <w:r w:rsidR="009762AA" w:rsidRPr="009762AA">
              <w:rPr>
                <w:rStyle w:val="Lienhypertexte"/>
                <w:rFonts w:asciiTheme="majorBidi" w:hAnsiTheme="majorBidi" w:cstheme="majorBidi"/>
                <w:noProof/>
              </w:rPr>
              <w:t>Ministère Public contre Lamine BADJI, Jugement N°01/2017 du 11 Janvier 2017 rendu par le TPE de Ziguinchor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_Toc521059409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13</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10" w:history="1">
            <w:r w:rsidR="009762AA" w:rsidRPr="009762AA">
              <w:rPr>
                <w:rStyle w:val="Lienhypertexte"/>
                <w:rFonts w:asciiTheme="majorBidi" w:hAnsiTheme="majorBidi" w:cstheme="majorBidi"/>
                <w:noProof/>
              </w:rPr>
              <w:t>Ministère Public et Diouma NDOUR contre Moustapha NDONG, Arrêt de la Cour d’Appel de Dakar  N°12 du 17 Décembre 2014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_Toc521059410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13</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11" w:history="1">
            <w:r w:rsidR="009762AA" w:rsidRPr="009762AA">
              <w:rPr>
                <w:rStyle w:val="Lienhypertexte"/>
                <w:rFonts w:asciiTheme="majorBidi" w:hAnsiTheme="majorBidi" w:cstheme="majorBidi"/>
                <w:noProof/>
              </w:rPr>
              <w:t>Ministère Public contre Bakary DIONE, Arrêt de la Cour d’Appel de Dakar  N°839 du 29 Novembre 2001 (Inédit).</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_Toc521059411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13</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12" w:history="1">
            <w:r w:rsidR="009762AA" w:rsidRPr="009762AA">
              <w:rPr>
                <w:rStyle w:val="Lienhypertexte"/>
                <w:rFonts w:asciiTheme="majorBidi" w:hAnsiTheme="majorBidi" w:cstheme="majorBidi"/>
                <w:noProof/>
              </w:rPr>
              <w:t>La « priorité » des mesures de protection, d’assistance, de surveillance  et d’éducation</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_Toc521059412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15</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13" w:history="1">
            <w:r w:rsidR="009762AA" w:rsidRPr="009762AA">
              <w:rPr>
                <w:rStyle w:val="Lienhypertexte"/>
                <w:rFonts w:asciiTheme="majorBidi" w:hAnsiTheme="majorBidi" w:cstheme="majorBidi"/>
                <w:iCs/>
                <w:noProof/>
              </w:rPr>
              <w:t>LIVRE TROISIEME : DES CRIMES, DES DELITS ET DE LEUR PUNITION</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_Toc521059413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19</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14" w:history="1">
            <w:r w:rsidR="009762AA" w:rsidRPr="009762AA">
              <w:rPr>
                <w:rStyle w:val="Lienhypertexte"/>
                <w:rFonts w:asciiTheme="majorBidi" w:hAnsiTheme="majorBidi" w:cstheme="majorBidi"/>
                <w:iCs/>
                <w:noProof/>
              </w:rPr>
              <w:t>SECTION PREMIERE : DES CRIMES DE TRAHISON ET D'ESPIONNAGE</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_Toc521059414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19</w:t>
            </w:r>
            <w:r w:rsidR="009762AA" w:rsidRPr="009762AA">
              <w:rPr>
                <w:rFonts w:asciiTheme="majorBidi" w:hAnsiTheme="majorBidi" w:cstheme="majorBidi"/>
                <w:noProof/>
                <w:webHidden/>
              </w:rPr>
              <w:fldChar w:fldCharType="end"/>
            </w:r>
          </w:hyperlink>
        </w:p>
        <w:p w:rsidR="009762AA" w:rsidRPr="009762AA" w:rsidRDefault="007F1F8C">
          <w:pPr>
            <w:pStyle w:val="TM1"/>
            <w:tabs>
              <w:tab w:val="right" w:leader="dot" w:pos="9062"/>
            </w:tabs>
            <w:rPr>
              <w:rFonts w:asciiTheme="majorBidi" w:hAnsiTheme="majorBidi" w:cstheme="majorBidi"/>
              <w:noProof/>
            </w:rPr>
          </w:pPr>
          <w:hyperlink w:anchor="_Toc521059415" w:history="1">
            <w:r w:rsidR="009762AA" w:rsidRPr="009762AA">
              <w:rPr>
                <w:rStyle w:val="Lienhypertexte"/>
                <w:rFonts w:asciiTheme="majorBidi" w:hAnsiTheme="majorBidi" w:cstheme="majorBidi"/>
                <w:iCs/>
                <w:noProof/>
              </w:rPr>
              <w:t>SECTION Il : DES AUTRES ATTEINTES A LA DEFENSE NATIONALE</w:t>
            </w:r>
            <w:r w:rsidR="009762AA" w:rsidRPr="009762AA">
              <w:rPr>
                <w:rFonts w:asciiTheme="majorBidi" w:hAnsiTheme="majorBidi" w:cstheme="majorBidi"/>
                <w:noProof/>
                <w:webHidden/>
              </w:rPr>
              <w:tab/>
            </w:r>
            <w:r w:rsidR="009762AA" w:rsidRPr="009762AA">
              <w:rPr>
                <w:rFonts w:asciiTheme="majorBidi" w:hAnsiTheme="majorBidi" w:cstheme="majorBidi"/>
                <w:noProof/>
                <w:webHidden/>
              </w:rPr>
              <w:fldChar w:fldCharType="begin"/>
            </w:r>
            <w:r w:rsidR="009762AA" w:rsidRPr="009762AA">
              <w:rPr>
                <w:rFonts w:asciiTheme="majorBidi" w:hAnsiTheme="majorBidi" w:cstheme="majorBidi"/>
                <w:noProof/>
                <w:webHidden/>
              </w:rPr>
              <w:instrText xml:space="preserve"> PAGEREF _Toc521059415 \h </w:instrText>
            </w:r>
            <w:r w:rsidR="009762AA" w:rsidRPr="009762AA">
              <w:rPr>
                <w:rFonts w:asciiTheme="majorBidi" w:hAnsiTheme="majorBidi" w:cstheme="majorBidi"/>
                <w:noProof/>
                <w:webHidden/>
              </w:rPr>
            </w:r>
            <w:r w:rsidR="009762AA" w:rsidRPr="009762AA">
              <w:rPr>
                <w:rFonts w:asciiTheme="majorBidi" w:hAnsiTheme="majorBidi" w:cstheme="majorBidi"/>
                <w:noProof/>
                <w:webHidden/>
              </w:rPr>
              <w:fldChar w:fldCharType="separate"/>
            </w:r>
            <w:r w:rsidR="009762AA" w:rsidRPr="009762AA">
              <w:rPr>
                <w:rFonts w:asciiTheme="majorBidi" w:hAnsiTheme="majorBidi" w:cstheme="majorBidi"/>
                <w:noProof/>
                <w:webHidden/>
              </w:rPr>
              <w:t>30</w:t>
            </w:r>
            <w:r w:rsidR="009762AA" w:rsidRPr="009762AA">
              <w:rPr>
                <w:rFonts w:asciiTheme="majorBidi" w:hAnsiTheme="majorBidi" w:cstheme="majorBidi"/>
                <w:noProof/>
                <w:webHidden/>
              </w:rPr>
              <w:fldChar w:fldCharType="end"/>
            </w:r>
          </w:hyperlink>
        </w:p>
        <w:p w:rsidR="009762AA" w:rsidRPr="009762AA" w:rsidRDefault="009762AA">
          <w:pPr>
            <w:rPr>
              <w:rFonts w:asciiTheme="majorBidi" w:hAnsiTheme="majorBidi" w:cstheme="majorBidi"/>
            </w:rPr>
          </w:pPr>
          <w:r w:rsidRPr="009762AA">
            <w:rPr>
              <w:rFonts w:asciiTheme="majorBidi" w:hAnsiTheme="majorBidi" w:cstheme="majorBidi"/>
              <w:b/>
              <w:bCs/>
            </w:rPr>
            <w:fldChar w:fldCharType="end"/>
          </w:r>
        </w:p>
      </w:sdtContent>
    </w:sdt>
    <w:p w:rsidR="009762AA" w:rsidRPr="009762AA" w:rsidRDefault="009762AA" w:rsidP="0098524B">
      <w:pPr>
        <w:spacing w:line="360" w:lineRule="auto"/>
        <w:jc w:val="both"/>
        <w:rPr>
          <w:rFonts w:asciiTheme="majorBidi" w:hAnsiTheme="majorBidi" w:cstheme="majorBidi"/>
          <w:b/>
          <w:sz w:val="24"/>
          <w:szCs w:val="24"/>
        </w:rPr>
      </w:pPr>
    </w:p>
    <w:sectPr w:rsidR="009762AA" w:rsidRPr="009762AA" w:rsidSect="00802381">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F8C" w:rsidRDefault="007F1F8C" w:rsidP="00EC23E5">
      <w:pPr>
        <w:spacing w:after="0" w:line="240" w:lineRule="auto"/>
      </w:pPr>
      <w:r>
        <w:separator/>
      </w:r>
    </w:p>
  </w:endnote>
  <w:endnote w:type="continuationSeparator" w:id="0">
    <w:p w:rsidR="007F1F8C" w:rsidRDefault="007F1F8C" w:rsidP="00EC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ung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D2" w:rsidRDefault="005649D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D2" w:rsidRDefault="005649D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D2" w:rsidRDefault="005649D2">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CA" w:rsidRDefault="005649D2" w:rsidP="002E41CA">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Annot</w:t>
    </w:r>
    <w:bookmarkStart w:id="34" w:name="_GoBack"/>
    <w:bookmarkEnd w:id="34"/>
    <w:r w:rsidR="002E41CA">
      <w:rPr>
        <w:rFonts w:asciiTheme="majorHAnsi" w:eastAsiaTheme="majorEastAsia" w:hAnsiTheme="majorHAnsi" w:cstheme="majorBidi"/>
      </w:rPr>
      <w:t>ation des articles 45 à 71 du code pénal</w:t>
    </w:r>
  </w:p>
  <w:p w:rsidR="00802381" w:rsidRDefault="00802381" w:rsidP="002E41CA">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PAGE   \* MERGEFORMAT</w:instrText>
    </w:r>
    <w:r>
      <w:fldChar w:fldCharType="separate"/>
    </w:r>
    <w:r w:rsidR="005649D2" w:rsidRPr="005649D2">
      <w:rPr>
        <w:rFonts w:asciiTheme="majorHAnsi" w:eastAsiaTheme="majorEastAsia" w:hAnsiTheme="majorHAnsi" w:cstheme="majorBidi"/>
        <w:noProof/>
      </w:rPr>
      <w:t>18</w:t>
    </w:r>
    <w:r>
      <w:rPr>
        <w:rFonts w:asciiTheme="majorHAnsi" w:eastAsiaTheme="majorEastAsia" w:hAnsiTheme="majorHAnsi" w:cstheme="majorBidi"/>
      </w:rPr>
      <w:fldChar w:fldCharType="end"/>
    </w:r>
  </w:p>
  <w:p w:rsidR="00802381" w:rsidRDefault="008023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F8C" w:rsidRDefault="007F1F8C" w:rsidP="00EC23E5">
      <w:pPr>
        <w:spacing w:after="0" w:line="240" w:lineRule="auto"/>
      </w:pPr>
      <w:r>
        <w:separator/>
      </w:r>
    </w:p>
  </w:footnote>
  <w:footnote w:type="continuationSeparator" w:id="0">
    <w:p w:rsidR="007F1F8C" w:rsidRDefault="007F1F8C" w:rsidP="00EC23E5">
      <w:pPr>
        <w:spacing w:after="0" w:line="240" w:lineRule="auto"/>
      </w:pPr>
      <w:r>
        <w:continuationSeparator/>
      </w:r>
    </w:p>
  </w:footnote>
  <w:footnote w:id="1">
    <w:p w:rsidR="001B6AFC" w:rsidRDefault="001B6AFC">
      <w:pPr>
        <w:pStyle w:val="Notedebasdepage"/>
      </w:pPr>
      <w:r>
        <w:rPr>
          <w:rStyle w:val="Appelnotedebasdep"/>
        </w:rPr>
        <w:footnoteRef/>
      </w:r>
      <w:r>
        <w:t xml:space="preserve"> Bulletin  des arrêts de la Cour d’Appel de Dakar, 2011, vol n° 2, p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D2" w:rsidRDefault="005649D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D2" w:rsidRDefault="005649D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D2" w:rsidRDefault="005649D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2689"/>
    <w:multiLevelType w:val="hybridMultilevel"/>
    <w:tmpl w:val="ED3EF9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1B48AA"/>
    <w:multiLevelType w:val="hybridMultilevel"/>
    <w:tmpl w:val="1F742A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213EB"/>
    <w:multiLevelType w:val="hybridMultilevel"/>
    <w:tmpl w:val="934E9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FA369E"/>
    <w:multiLevelType w:val="hybridMultilevel"/>
    <w:tmpl w:val="414A442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FCB5F96"/>
    <w:multiLevelType w:val="hybridMultilevel"/>
    <w:tmpl w:val="0AE677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D85461"/>
    <w:multiLevelType w:val="hybridMultilevel"/>
    <w:tmpl w:val="D84430B0"/>
    <w:lvl w:ilvl="0" w:tplc="2182CE10">
      <w:start w:val="4"/>
      <w:numFmt w:val="bullet"/>
      <w:lvlText w:val="-"/>
      <w:lvlJc w:val="left"/>
      <w:pPr>
        <w:ind w:left="480" w:hanging="360"/>
      </w:pPr>
      <w:rPr>
        <w:rFonts w:ascii="Times New Roman" w:eastAsiaTheme="minorHAnsi" w:hAnsi="Times New Roman" w:cs="Times New Roman" w:hint="default"/>
        <w:i w:val="0"/>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6">
    <w:nsid w:val="2C3F35EE"/>
    <w:multiLevelType w:val="hybridMultilevel"/>
    <w:tmpl w:val="1A7A342C"/>
    <w:lvl w:ilvl="0" w:tplc="C8CAA7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1A6A62"/>
    <w:multiLevelType w:val="hybridMultilevel"/>
    <w:tmpl w:val="976A3EF8"/>
    <w:lvl w:ilvl="0" w:tplc="887C630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3B64CC"/>
    <w:multiLevelType w:val="hybridMultilevel"/>
    <w:tmpl w:val="A7A02E66"/>
    <w:lvl w:ilvl="0" w:tplc="48E86F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688780C"/>
    <w:multiLevelType w:val="hybridMultilevel"/>
    <w:tmpl w:val="4B5EE1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2301033"/>
    <w:multiLevelType w:val="hybridMultilevel"/>
    <w:tmpl w:val="40183E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10"/>
  </w:num>
  <w:num w:numId="6">
    <w:abstractNumId w:val="0"/>
  </w:num>
  <w:num w:numId="7">
    <w:abstractNumId w:val="8"/>
  </w:num>
  <w:num w:numId="8">
    <w:abstractNumId w:val="3"/>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3D"/>
    <w:rsid w:val="00002E7B"/>
    <w:rsid w:val="000115D8"/>
    <w:rsid w:val="00016C78"/>
    <w:rsid w:val="00017738"/>
    <w:rsid w:val="00031AAC"/>
    <w:rsid w:val="00040B82"/>
    <w:rsid w:val="00053A29"/>
    <w:rsid w:val="00053CB9"/>
    <w:rsid w:val="0005419E"/>
    <w:rsid w:val="00061295"/>
    <w:rsid w:val="0006554F"/>
    <w:rsid w:val="00065F17"/>
    <w:rsid w:val="00073B7C"/>
    <w:rsid w:val="00091429"/>
    <w:rsid w:val="000A0B80"/>
    <w:rsid w:val="000A220F"/>
    <w:rsid w:val="000B5AB5"/>
    <w:rsid w:val="000D43E0"/>
    <w:rsid w:val="000E7110"/>
    <w:rsid w:val="00101850"/>
    <w:rsid w:val="001028BF"/>
    <w:rsid w:val="001152CF"/>
    <w:rsid w:val="001156AD"/>
    <w:rsid w:val="001326C7"/>
    <w:rsid w:val="001343CD"/>
    <w:rsid w:val="00143704"/>
    <w:rsid w:val="00154B44"/>
    <w:rsid w:val="00164232"/>
    <w:rsid w:val="001762B4"/>
    <w:rsid w:val="00186500"/>
    <w:rsid w:val="001A09E0"/>
    <w:rsid w:val="001A67EA"/>
    <w:rsid w:val="001B144A"/>
    <w:rsid w:val="001B558B"/>
    <w:rsid w:val="001B6AFC"/>
    <w:rsid w:val="001C3583"/>
    <w:rsid w:val="001C739D"/>
    <w:rsid w:val="001E5975"/>
    <w:rsid w:val="001E728E"/>
    <w:rsid w:val="00206B42"/>
    <w:rsid w:val="00211E76"/>
    <w:rsid w:val="002220DC"/>
    <w:rsid w:val="00222C9C"/>
    <w:rsid w:val="002251B4"/>
    <w:rsid w:val="00225993"/>
    <w:rsid w:val="00227AB6"/>
    <w:rsid w:val="00230974"/>
    <w:rsid w:val="00231D38"/>
    <w:rsid w:val="00236FBE"/>
    <w:rsid w:val="00242759"/>
    <w:rsid w:val="00274ACD"/>
    <w:rsid w:val="00286318"/>
    <w:rsid w:val="00290237"/>
    <w:rsid w:val="00294F12"/>
    <w:rsid w:val="002A6E39"/>
    <w:rsid w:val="002C02D7"/>
    <w:rsid w:val="002C0A83"/>
    <w:rsid w:val="002C4C16"/>
    <w:rsid w:val="002C7E96"/>
    <w:rsid w:val="002D3D74"/>
    <w:rsid w:val="002D5BC6"/>
    <w:rsid w:val="002E2B1E"/>
    <w:rsid w:val="002E3195"/>
    <w:rsid w:val="002E41CA"/>
    <w:rsid w:val="00306FC9"/>
    <w:rsid w:val="003168B7"/>
    <w:rsid w:val="003416CB"/>
    <w:rsid w:val="00346D8E"/>
    <w:rsid w:val="00361EC1"/>
    <w:rsid w:val="0036385D"/>
    <w:rsid w:val="003757BC"/>
    <w:rsid w:val="00381ABD"/>
    <w:rsid w:val="00382B51"/>
    <w:rsid w:val="00396C05"/>
    <w:rsid w:val="003B3F39"/>
    <w:rsid w:val="003B53C5"/>
    <w:rsid w:val="003C50E5"/>
    <w:rsid w:val="003C745A"/>
    <w:rsid w:val="003D5F3C"/>
    <w:rsid w:val="003E0060"/>
    <w:rsid w:val="003E7C25"/>
    <w:rsid w:val="003F7F26"/>
    <w:rsid w:val="00401B3D"/>
    <w:rsid w:val="004232F5"/>
    <w:rsid w:val="00432FD5"/>
    <w:rsid w:val="00444D40"/>
    <w:rsid w:val="00445945"/>
    <w:rsid w:val="00445C04"/>
    <w:rsid w:val="00456510"/>
    <w:rsid w:val="00461987"/>
    <w:rsid w:val="004704E6"/>
    <w:rsid w:val="0047163B"/>
    <w:rsid w:val="00472B2E"/>
    <w:rsid w:val="00482835"/>
    <w:rsid w:val="004970B4"/>
    <w:rsid w:val="004A3189"/>
    <w:rsid w:val="004A5FDA"/>
    <w:rsid w:val="004A67CD"/>
    <w:rsid w:val="004B125D"/>
    <w:rsid w:val="004B1274"/>
    <w:rsid w:val="004C6A62"/>
    <w:rsid w:val="004D00A9"/>
    <w:rsid w:val="004E57D6"/>
    <w:rsid w:val="004E6298"/>
    <w:rsid w:val="004F5F0C"/>
    <w:rsid w:val="004F7450"/>
    <w:rsid w:val="00521A5E"/>
    <w:rsid w:val="00522A09"/>
    <w:rsid w:val="00531483"/>
    <w:rsid w:val="00534EF5"/>
    <w:rsid w:val="00550084"/>
    <w:rsid w:val="005528EC"/>
    <w:rsid w:val="00553FCB"/>
    <w:rsid w:val="005649D2"/>
    <w:rsid w:val="0057089F"/>
    <w:rsid w:val="00576A72"/>
    <w:rsid w:val="005841ED"/>
    <w:rsid w:val="00592989"/>
    <w:rsid w:val="00592BB4"/>
    <w:rsid w:val="005937A9"/>
    <w:rsid w:val="005B1C30"/>
    <w:rsid w:val="005C29C7"/>
    <w:rsid w:val="005D5A6D"/>
    <w:rsid w:val="005E72CE"/>
    <w:rsid w:val="00610EEA"/>
    <w:rsid w:val="00614B15"/>
    <w:rsid w:val="006271AE"/>
    <w:rsid w:val="006326CA"/>
    <w:rsid w:val="00653DC5"/>
    <w:rsid w:val="006543F2"/>
    <w:rsid w:val="00661714"/>
    <w:rsid w:val="006677E5"/>
    <w:rsid w:val="006A1EBC"/>
    <w:rsid w:val="006A2010"/>
    <w:rsid w:val="006A72FD"/>
    <w:rsid w:val="006C7CBC"/>
    <w:rsid w:val="006D42CF"/>
    <w:rsid w:val="006D5C97"/>
    <w:rsid w:val="006E2E01"/>
    <w:rsid w:val="006F0DD4"/>
    <w:rsid w:val="006F6319"/>
    <w:rsid w:val="006F67E6"/>
    <w:rsid w:val="007060E6"/>
    <w:rsid w:val="0072171E"/>
    <w:rsid w:val="007439F4"/>
    <w:rsid w:val="00745F11"/>
    <w:rsid w:val="0076287F"/>
    <w:rsid w:val="00763CFA"/>
    <w:rsid w:val="007716AF"/>
    <w:rsid w:val="00777021"/>
    <w:rsid w:val="007918C7"/>
    <w:rsid w:val="007A414F"/>
    <w:rsid w:val="007A6F81"/>
    <w:rsid w:val="007B1B77"/>
    <w:rsid w:val="007B7E58"/>
    <w:rsid w:val="007C3CF4"/>
    <w:rsid w:val="007D3B1B"/>
    <w:rsid w:val="007E42F3"/>
    <w:rsid w:val="007F1718"/>
    <w:rsid w:val="007F1F8C"/>
    <w:rsid w:val="007F3E6A"/>
    <w:rsid w:val="00802381"/>
    <w:rsid w:val="0080670C"/>
    <w:rsid w:val="00812855"/>
    <w:rsid w:val="0081388A"/>
    <w:rsid w:val="00817C79"/>
    <w:rsid w:val="00821CA5"/>
    <w:rsid w:val="00826FD1"/>
    <w:rsid w:val="00832AF2"/>
    <w:rsid w:val="00865B38"/>
    <w:rsid w:val="00870039"/>
    <w:rsid w:val="00871E1D"/>
    <w:rsid w:val="00875702"/>
    <w:rsid w:val="00881C22"/>
    <w:rsid w:val="008928E0"/>
    <w:rsid w:val="008963DA"/>
    <w:rsid w:val="008C0B32"/>
    <w:rsid w:val="008C21FD"/>
    <w:rsid w:val="008D14E2"/>
    <w:rsid w:val="008D1672"/>
    <w:rsid w:val="008D789E"/>
    <w:rsid w:val="008F013F"/>
    <w:rsid w:val="008F0A0A"/>
    <w:rsid w:val="008F4D77"/>
    <w:rsid w:val="009219A8"/>
    <w:rsid w:val="009331F6"/>
    <w:rsid w:val="00933285"/>
    <w:rsid w:val="009354DE"/>
    <w:rsid w:val="009762AA"/>
    <w:rsid w:val="00982239"/>
    <w:rsid w:val="00983844"/>
    <w:rsid w:val="0098524B"/>
    <w:rsid w:val="00997362"/>
    <w:rsid w:val="009B73C3"/>
    <w:rsid w:val="009C59F3"/>
    <w:rsid w:val="009D022B"/>
    <w:rsid w:val="009D2065"/>
    <w:rsid w:val="009E25E8"/>
    <w:rsid w:val="009F721E"/>
    <w:rsid w:val="009F7336"/>
    <w:rsid w:val="009F73DF"/>
    <w:rsid w:val="00A56472"/>
    <w:rsid w:val="00A764AA"/>
    <w:rsid w:val="00A77726"/>
    <w:rsid w:val="00A9638A"/>
    <w:rsid w:val="00AA6183"/>
    <w:rsid w:val="00AA783A"/>
    <w:rsid w:val="00AA7AD3"/>
    <w:rsid w:val="00AC0FDC"/>
    <w:rsid w:val="00AD1409"/>
    <w:rsid w:val="00AD15E6"/>
    <w:rsid w:val="00AD3ECB"/>
    <w:rsid w:val="00AD4BD6"/>
    <w:rsid w:val="00AD7BD3"/>
    <w:rsid w:val="00AE4A3A"/>
    <w:rsid w:val="00AF1187"/>
    <w:rsid w:val="00AF1D82"/>
    <w:rsid w:val="00B06842"/>
    <w:rsid w:val="00B07A3E"/>
    <w:rsid w:val="00B106E4"/>
    <w:rsid w:val="00B10D30"/>
    <w:rsid w:val="00B22737"/>
    <w:rsid w:val="00B24329"/>
    <w:rsid w:val="00B319B1"/>
    <w:rsid w:val="00B444BF"/>
    <w:rsid w:val="00B4553B"/>
    <w:rsid w:val="00B5183D"/>
    <w:rsid w:val="00B5491F"/>
    <w:rsid w:val="00B57592"/>
    <w:rsid w:val="00B6204E"/>
    <w:rsid w:val="00B761AD"/>
    <w:rsid w:val="00B818DE"/>
    <w:rsid w:val="00B87B83"/>
    <w:rsid w:val="00B87EBB"/>
    <w:rsid w:val="00BA03F1"/>
    <w:rsid w:val="00BA1189"/>
    <w:rsid w:val="00BA1BE4"/>
    <w:rsid w:val="00BA5FAE"/>
    <w:rsid w:val="00BB158D"/>
    <w:rsid w:val="00BC2CC9"/>
    <w:rsid w:val="00BC32BB"/>
    <w:rsid w:val="00BC7282"/>
    <w:rsid w:val="00BE2175"/>
    <w:rsid w:val="00BF5EBB"/>
    <w:rsid w:val="00BF7EB8"/>
    <w:rsid w:val="00C01E55"/>
    <w:rsid w:val="00C057F8"/>
    <w:rsid w:val="00C2195E"/>
    <w:rsid w:val="00C264F7"/>
    <w:rsid w:val="00C652B8"/>
    <w:rsid w:val="00C70E42"/>
    <w:rsid w:val="00C8172C"/>
    <w:rsid w:val="00C84B10"/>
    <w:rsid w:val="00CA500D"/>
    <w:rsid w:val="00CB60BD"/>
    <w:rsid w:val="00CC175F"/>
    <w:rsid w:val="00CC4ADC"/>
    <w:rsid w:val="00CC60A1"/>
    <w:rsid w:val="00CD031F"/>
    <w:rsid w:val="00CD0721"/>
    <w:rsid w:val="00CF6350"/>
    <w:rsid w:val="00D01A8A"/>
    <w:rsid w:val="00D044FD"/>
    <w:rsid w:val="00D113D2"/>
    <w:rsid w:val="00D21953"/>
    <w:rsid w:val="00D30FB2"/>
    <w:rsid w:val="00D40DA5"/>
    <w:rsid w:val="00D5084E"/>
    <w:rsid w:val="00D55644"/>
    <w:rsid w:val="00D64014"/>
    <w:rsid w:val="00D76832"/>
    <w:rsid w:val="00D83978"/>
    <w:rsid w:val="00D83BB4"/>
    <w:rsid w:val="00DA6DAA"/>
    <w:rsid w:val="00DE4340"/>
    <w:rsid w:val="00E0044F"/>
    <w:rsid w:val="00E02F63"/>
    <w:rsid w:val="00E131F7"/>
    <w:rsid w:val="00E412F8"/>
    <w:rsid w:val="00E42A02"/>
    <w:rsid w:val="00E56124"/>
    <w:rsid w:val="00E67BD1"/>
    <w:rsid w:val="00E8642D"/>
    <w:rsid w:val="00E923CC"/>
    <w:rsid w:val="00EA4D0F"/>
    <w:rsid w:val="00EB6D31"/>
    <w:rsid w:val="00EC23E5"/>
    <w:rsid w:val="00EC3645"/>
    <w:rsid w:val="00EC3D9A"/>
    <w:rsid w:val="00ED3462"/>
    <w:rsid w:val="00EE35A5"/>
    <w:rsid w:val="00EF03F4"/>
    <w:rsid w:val="00F001BC"/>
    <w:rsid w:val="00F045D0"/>
    <w:rsid w:val="00F12A2F"/>
    <w:rsid w:val="00F244DE"/>
    <w:rsid w:val="00F521DC"/>
    <w:rsid w:val="00F5273E"/>
    <w:rsid w:val="00F6163E"/>
    <w:rsid w:val="00F67526"/>
    <w:rsid w:val="00F83B59"/>
    <w:rsid w:val="00F93435"/>
    <w:rsid w:val="00FA65F5"/>
    <w:rsid w:val="00FB3228"/>
    <w:rsid w:val="00FF10D0"/>
    <w:rsid w:val="00FF44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6F569D-D115-47A5-AC50-489625EB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156AD"/>
    <w:pPr>
      <w:keepNext/>
      <w:keepLines/>
      <w:spacing w:before="480" w:after="0"/>
      <w:outlineLvl w:val="0"/>
    </w:pPr>
    <w:rPr>
      <w:rFonts w:asciiTheme="majorBidi" w:eastAsiaTheme="majorEastAsia" w:hAnsiTheme="majorBidi" w:cstheme="majorBidi"/>
      <w:b/>
      <w:bCs/>
      <w:i/>
      <w:color w:val="000000" w:themeColor="text1"/>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3435"/>
    <w:pPr>
      <w:spacing w:after="160" w:line="259" w:lineRule="auto"/>
      <w:ind w:left="720"/>
      <w:contextualSpacing/>
    </w:pPr>
  </w:style>
  <w:style w:type="paragraph" w:styleId="Notedebasdepage">
    <w:name w:val="footnote text"/>
    <w:basedOn w:val="Normal"/>
    <w:link w:val="NotedebasdepageCar"/>
    <w:uiPriority w:val="99"/>
    <w:semiHidden/>
    <w:unhideWhenUsed/>
    <w:rsid w:val="00EC23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23E5"/>
    <w:rPr>
      <w:sz w:val="20"/>
      <w:szCs w:val="20"/>
    </w:rPr>
  </w:style>
  <w:style w:type="character" w:styleId="Appelnotedebasdep">
    <w:name w:val="footnote reference"/>
    <w:basedOn w:val="Policepardfaut"/>
    <w:uiPriority w:val="99"/>
    <w:semiHidden/>
    <w:unhideWhenUsed/>
    <w:rsid w:val="00EC23E5"/>
    <w:rPr>
      <w:vertAlign w:val="superscript"/>
    </w:rPr>
  </w:style>
  <w:style w:type="paragraph" w:styleId="En-tte">
    <w:name w:val="header"/>
    <w:basedOn w:val="Normal"/>
    <w:link w:val="En-tteCar"/>
    <w:semiHidden/>
    <w:rsid w:val="004F5F0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4F5F0C"/>
    <w:rPr>
      <w:rFonts w:ascii="Times New Roman" w:eastAsia="Times New Roman" w:hAnsi="Times New Roman" w:cs="Times New Roman"/>
      <w:sz w:val="20"/>
      <w:szCs w:val="20"/>
      <w:lang w:eastAsia="fr-FR"/>
    </w:rPr>
  </w:style>
  <w:style w:type="character" w:customStyle="1" w:styleId="altoff">
    <w:name w:val="alt off"/>
    <w:basedOn w:val="Policepardfaut"/>
    <w:rsid w:val="00B5491F"/>
  </w:style>
  <w:style w:type="paragraph" w:styleId="Pieddepage">
    <w:name w:val="footer"/>
    <w:basedOn w:val="Normal"/>
    <w:link w:val="PieddepageCar"/>
    <w:uiPriority w:val="99"/>
    <w:unhideWhenUsed/>
    <w:rsid w:val="00552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8EC"/>
  </w:style>
  <w:style w:type="paragraph" w:customStyle="1" w:styleId="CORPUSany">
    <w:name w:val="CORPUS_any"/>
    <w:basedOn w:val="Normal"/>
    <w:rsid w:val="003F7F26"/>
    <w:pPr>
      <w:spacing w:after="0" w:line="240" w:lineRule="auto"/>
      <w:jc w:val="both"/>
    </w:pPr>
    <w:rPr>
      <w:rFonts w:ascii="Verdana" w:eastAsia="Verdana" w:hAnsi="Verdana" w:cs="Verdana"/>
      <w:color w:val="1B1B1B"/>
      <w:sz w:val="24"/>
      <w:szCs w:val="24"/>
    </w:rPr>
  </w:style>
  <w:style w:type="character" w:customStyle="1" w:styleId="CORPUSanyCharacter">
    <w:name w:val="CORPUS_any Character"/>
    <w:basedOn w:val="Policepardfaut"/>
    <w:rsid w:val="003F7F26"/>
    <w:rPr>
      <w:rFonts w:ascii="Verdana" w:eastAsia="Verdana" w:hAnsi="Verdana" w:cs="Verdana"/>
      <w:color w:val="1B1B1B"/>
    </w:rPr>
  </w:style>
  <w:style w:type="paragraph" w:styleId="Textedebulles">
    <w:name w:val="Balloon Text"/>
    <w:basedOn w:val="Normal"/>
    <w:link w:val="TextedebullesCar"/>
    <w:uiPriority w:val="99"/>
    <w:semiHidden/>
    <w:unhideWhenUsed/>
    <w:rsid w:val="003F7F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F26"/>
    <w:rPr>
      <w:rFonts w:ascii="Tahoma" w:hAnsi="Tahoma" w:cs="Tahoma"/>
      <w:sz w:val="16"/>
      <w:szCs w:val="16"/>
    </w:rPr>
  </w:style>
  <w:style w:type="character" w:customStyle="1" w:styleId="Titre1Car">
    <w:name w:val="Titre 1 Car"/>
    <w:basedOn w:val="Policepardfaut"/>
    <w:link w:val="Titre1"/>
    <w:uiPriority w:val="9"/>
    <w:rsid w:val="001156AD"/>
    <w:rPr>
      <w:rFonts w:asciiTheme="majorBidi" w:eastAsiaTheme="majorEastAsia" w:hAnsiTheme="majorBidi" w:cstheme="majorBidi"/>
      <w:b/>
      <w:bCs/>
      <w:i/>
      <w:color w:val="000000" w:themeColor="text1"/>
      <w:sz w:val="24"/>
      <w:szCs w:val="28"/>
    </w:rPr>
  </w:style>
  <w:style w:type="character" w:customStyle="1" w:styleId="TITRETIT-INTT">
    <w:name w:val="TITRE &gt; TIT-INTT"/>
    <w:basedOn w:val="Policepardfaut"/>
    <w:rsid w:val="00143704"/>
    <w:rPr>
      <w:b/>
      <w:bCs/>
    </w:rPr>
  </w:style>
  <w:style w:type="paragraph" w:customStyle="1" w:styleId="NIV5TITRE">
    <w:name w:val="NIV5 &gt; TITRE"/>
    <w:basedOn w:val="Normal"/>
    <w:rsid w:val="00143704"/>
    <w:pPr>
      <w:spacing w:after="0" w:line="240" w:lineRule="auto"/>
    </w:pPr>
    <w:rPr>
      <w:rFonts w:ascii="Times New Roman" w:eastAsia="Times New Roman" w:hAnsi="Times New Roman" w:cs="Times New Roman"/>
      <w:sz w:val="24"/>
      <w:szCs w:val="24"/>
    </w:rPr>
  </w:style>
  <w:style w:type="character" w:customStyle="1" w:styleId="NIV5TITRETIT-NUM">
    <w:name w:val="NIV5 &gt; TITRE &gt; TIT-NUM"/>
    <w:basedOn w:val="Policepardfaut"/>
    <w:rsid w:val="00143704"/>
    <w:rPr>
      <w:sz w:val="18"/>
      <w:szCs w:val="18"/>
    </w:rPr>
  </w:style>
  <w:style w:type="character" w:customStyle="1" w:styleId="NIV5TITRETIT-INTT">
    <w:name w:val="NIV5 &gt; TITRE &gt; TIT-INTT"/>
    <w:basedOn w:val="Policepardfaut"/>
    <w:rsid w:val="00143704"/>
    <w:rPr>
      <w:sz w:val="18"/>
      <w:szCs w:val="18"/>
    </w:rPr>
  </w:style>
  <w:style w:type="paragraph" w:customStyle="1" w:styleId="NIV6TITRE">
    <w:name w:val="NIV6 &gt; TITRE"/>
    <w:basedOn w:val="Normal"/>
    <w:rsid w:val="00143704"/>
    <w:pPr>
      <w:spacing w:after="0" w:line="240" w:lineRule="auto"/>
    </w:pPr>
    <w:rPr>
      <w:rFonts w:ascii="Times New Roman" w:eastAsia="Times New Roman" w:hAnsi="Times New Roman" w:cs="Times New Roman"/>
      <w:sz w:val="24"/>
      <w:szCs w:val="24"/>
    </w:rPr>
  </w:style>
  <w:style w:type="character" w:customStyle="1" w:styleId="NIV6TITRETIT-NUM">
    <w:name w:val="NIV6 &gt; TITRE &gt; TIT-NUM"/>
    <w:basedOn w:val="Policepardfaut"/>
    <w:rsid w:val="00143704"/>
    <w:rPr>
      <w:b/>
      <w:bCs/>
      <w:sz w:val="18"/>
      <w:szCs w:val="18"/>
    </w:rPr>
  </w:style>
  <w:style w:type="character" w:customStyle="1" w:styleId="NIV6TITRETIT-INTT">
    <w:name w:val="NIV6 &gt; TITRE &gt; TIT-INTT"/>
    <w:basedOn w:val="Policepardfaut"/>
    <w:rsid w:val="00143704"/>
    <w:rPr>
      <w:b/>
      <w:bCs/>
      <w:sz w:val="18"/>
      <w:szCs w:val="18"/>
    </w:rPr>
  </w:style>
  <w:style w:type="paragraph" w:styleId="En-ttedetabledesmatires">
    <w:name w:val="TOC Heading"/>
    <w:basedOn w:val="Titre1"/>
    <w:next w:val="Normal"/>
    <w:uiPriority w:val="39"/>
    <w:semiHidden/>
    <w:unhideWhenUsed/>
    <w:qFormat/>
    <w:rsid w:val="0005419E"/>
    <w:pPr>
      <w:outlineLvl w:val="9"/>
    </w:pPr>
  </w:style>
  <w:style w:type="paragraph" w:styleId="TM2">
    <w:name w:val="toc 2"/>
    <w:basedOn w:val="Normal"/>
    <w:next w:val="Normal"/>
    <w:autoRedefine/>
    <w:uiPriority w:val="39"/>
    <w:semiHidden/>
    <w:unhideWhenUsed/>
    <w:qFormat/>
    <w:rsid w:val="0005419E"/>
    <w:pPr>
      <w:spacing w:after="100"/>
      <w:ind w:left="220"/>
    </w:pPr>
  </w:style>
  <w:style w:type="paragraph" w:styleId="TM1">
    <w:name w:val="toc 1"/>
    <w:basedOn w:val="Normal"/>
    <w:next w:val="Normal"/>
    <w:autoRedefine/>
    <w:uiPriority w:val="39"/>
    <w:unhideWhenUsed/>
    <w:qFormat/>
    <w:rsid w:val="0005419E"/>
    <w:pPr>
      <w:spacing w:after="100"/>
    </w:pPr>
  </w:style>
  <w:style w:type="paragraph" w:styleId="TM3">
    <w:name w:val="toc 3"/>
    <w:basedOn w:val="Normal"/>
    <w:next w:val="Normal"/>
    <w:autoRedefine/>
    <w:uiPriority w:val="39"/>
    <w:semiHidden/>
    <w:unhideWhenUsed/>
    <w:qFormat/>
    <w:rsid w:val="0005419E"/>
    <w:pPr>
      <w:spacing w:after="100"/>
      <w:ind w:left="440"/>
    </w:pPr>
  </w:style>
  <w:style w:type="character" w:styleId="Lienhypertexte">
    <w:name w:val="Hyperlink"/>
    <w:basedOn w:val="Policepardfaut"/>
    <w:uiPriority w:val="99"/>
    <w:unhideWhenUsed/>
    <w:rsid w:val="009762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5F474-31C3-42EA-B350-E0960666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12994</Words>
  <Characters>71468</Characters>
  <Application>Microsoft Office Word</Application>
  <DocSecurity>0</DocSecurity>
  <Lines>595</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ordinateur</dc:creator>
  <cp:lastModifiedBy>USER</cp:lastModifiedBy>
  <cp:revision>3</cp:revision>
  <dcterms:created xsi:type="dcterms:W3CDTF">2018-08-03T12:49:00Z</dcterms:created>
  <dcterms:modified xsi:type="dcterms:W3CDTF">2019-09-23T16:57:00Z</dcterms:modified>
</cp:coreProperties>
</file>