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936" w:rsidRPr="00511893" w:rsidRDefault="00594936" w:rsidP="00594936">
      <w:pPr>
        <w:jc w:val="center"/>
        <w:rPr>
          <w:b/>
          <w:sz w:val="48"/>
          <w:szCs w:val="48"/>
          <w:u w:val="single"/>
        </w:rPr>
      </w:pPr>
      <w:bookmarkStart w:id="0" w:name="_GoBack"/>
      <w:bookmarkEnd w:id="0"/>
      <w:r w:rsidRPr="00511893">
        <w:rPr>
          <w:b/>
          <w:sz w:val="48"/>
          <w:szCs w:val="48"/>
          <w:u w:val="single"/>
        </w:rPr>
        <w:t>MAGISTRATURE DIRECT</w:t>
      </w:r>
    </w:p>
    <w:p w:rsidR="00594936" w:rsidRDefault="00594936" w:rsidP="0061479F">
      <w:pPr>
        <w:jc w:val="both"/>
        <w:rPr>
          <w:b/>
          <w:sz w:val="28"/>
          <w:szCs w:val="28"/>
        </w:rPr>
      </w:pPr>
      <w:r>
        <w:rPr>
          <w:b/>
          <w:sz w:val="28"/>
          <w:szCs w:val="28"/>
        </w:rPr>
        <w:t>Commentaire d’arrêt</w:t>
      </w:r>
    </w:p>
    <w:p w:rsidR="00045F60" w:rsidRPr="00D82E73" w:rsidRDefault="00972641" w:rsidP="0061479F">
      <w:pPr>
        <w:jc w:val="both"/>
        <w:rPr>
          <w:b/>
          <w:sz w:val="28"/>
          <w:szCs w:val="28"/>
        </w:rPr>
      </w:pPr>
      <w:r w:rsidRPr="00D82E73">
        <w:rPr>
          <w:b/>
          <w:sz w:val="28"/>
          <w:szCs w:val="28"/>
        </w:rPr>
        <w:t>Aliou BATHILY C/ Abdoul DIALLO</w:t>
      </w:r>
    </w:p>
    <w:p w:rsidR="00972641" w:rsidRDefault="00972641" w:rsidP="0061479F">
      <w:pPr>
        <w:jc w:val="both"/>
        <w:rPr>
          <w:sz w:val="28"/>
          <w:szCs w:val="28"/>
        </w:rPr>
      </w:pPr>
      <w:r>
        <w:rPr>
          <w:sz w:val="28"/>
          <w:szCs w:val="28"/>
        </w:rPr>
        <w:t>« Promesse de contrat vaut contrat » sauf en matière immobilière où on exige la perfection du contrat. C’est ce qu’a appris à ses dépens le sieur Abdoul Diallo dans une affaire l’opposant à Aliou Bathily et ayant abouti à l’arrêt n° 79</w:t>
      </w:r>
      <w:r w:rsidR="006961F4">
        <w:rPr>
          <w:sz w:val="28"/>
          <w:szCs w:val="28"/>
        </w:rPr>
        <w:t xml:space="preserve"> du 16 juillet 2008 rendu par la chambre civile et commerciale de la Cour suprême.</w:t>
      </w:r>
    </w:p>
    <w:p w:rsidR="006961F4" w:rsidRDefault="006961F4" w:rsidP="0061479F">
      <w:pPr>
        <w:jc w:val="both"/>
        <w:rPr>
          <w:sz w:val="28"/>
          <w:szCs w:val="28"/>
        </w:rPr>
      </w:pPr>
      <w:r>
        <w:rPr>
          <w:sz w:val="28"/>
          <w:szCs w:val="28"/>
        </w:rPr>
        <w:t>En l’espèce, il s’agissait d’un contrat de vente port</w:t>
      </w:r>
      <w:r w:rsidR="00D82E73">
        <w:rPr>
          <w:sz w:val="28"/>
          <w:szCs w:val="28"/>
        </w:rPr>
        <w:t>ant sur un immeuble immatriculé</w:t>
      </w:r>
      <w:r>
        <w:rPr>
          <w:sz w:val="28"/>
          <w:szCs w:val="28"/>
        </w:rPr>
        <w:t xml:space="preserve"> (TF N° 19916/DG) constaté par un acte sous seing privé. Avant la perfection de cette vente, survient un différend entre les deux parties et entrainant la saisine du tribunal régional de Dakar. Ce dernier, saisi certainement par Abdou Diallo, ordonne la perfection de la vente d’immeuble constatée par acte sous seing privé après avoir constaté que celui-ci s’était libéré du prix du prix convenu.</w:t>
      </w:r>
    </w:p>
    <w:p w:rsidR="006961F4" w:rsidRDefault="006961F4" w:rsidP="0061479F">
      <w:pPr>
        <w:jc w:val="both"/>
        <w:rPr>
          <w:sz w:val="28"/>
          <w:szCs w:val="28"/>
        </w:rPr>
      </w:pPr>
      <w:r>
        <w:rPr>
          <w:sz w:val="28"/>
          <w:szCs w:val="28"/>
        </w:rPr>
        <w:t>Cette décision rendue le 28 mars 2001 sera confirmée par la Cour d’appel de Dakar mais seulement sur la base du défaut de présentation de moyens sérieux.</w:t>
      </w:r>
    </w:p>
    <w:p w:rsidR="006961F4" w:rsidRDefault="006961F4" w:rsidP="0061479F">
      <w:pPr>
        <w:jc w:val="both"/>
        <w:rPr>
          <w:sz w:val="28"/>
          <w:szCs w:val="28"/>
        </w:rPr>
      </w:pPr>
      <w:r>
        <w:rPr>
          <w:sz w:val="28"/>
          <w:szCs w:val="28"/>
        </w:rPr>
        <w:t>Déconfite, Aliou Bathily se pourvoit en cassation avec comme moyen la violation des articles 323, 382 et 383 du COCC. En effet, selon le demandeur en pourvoi, le juge ne pouvait ordonner la perfection de la vente constatée par acte sous seing privé alors que les transactions portent sur un immeuble doivent faire l’objet d’un acte notarié.</w:t>
      </w:r>
    </w:p>
    <w:p w:rsidR="006961F4" w:rsidRDefault="006961F4" w:rsidP="0061479F">
      <w:pPr>
        <w:jc w:val="both"/>
        <w:rPr>
          <w:sz w:val="28"/>
          <w:szCs w:val="28"/>
        </w:rPr>
      </w:pPr>
      <w:r>
        <w:rPr>
          <w:sz w:val="28"/>
          <w:szCs w:val="28"/>
        </w:rPr>
        <w:t>Dès lors le juge du droit devait se prononcer sur la question de droit suivante : une promesse synallagmatique de vente portant sur un immeuble immatriculé ainsi que la procuration donnée à cet effet peuvent-elles être constatées par acte sous seing privé ?</w:t>
      </w:r>
    </w:p>
    <w:p w:rsidR="006961F4" w:rsidRDefault="006961F4" w:rsidP="0061479F">
      <w:pPr>
        <w:jc w:val="both"/>
        <w:rPr>
          <w:sz w:val="28"/>
          <w:szCs w:val="28"/>
        </w:rPr>
      </w:pPr>
      <w:r>
        <w:rPr>
          <w:sz w:val="28"/>
          <w:szCs w:val="28"/>
        </w:rPr>
        <w:t>A cette interrogation, la Cour suprême répond par la négative en considérant dans une formule générale que dès lors que la vente porte sur un immeuble immatriculé, il faut un acte notarié.</w:t>
      </w:r>
    </w:p>
    <w:p w:rsidR="006961F4" w:rsidRDefault="006961F4" w:rsidP="0061479F">
      <w:pPr>
        <w:jc w:val="both"/>
        <w:rPr>
          <w:sz w:val="28"/>
          <w:szCs w:val="28"/>
        </w:rPr>
      </w:pPr>
      <w:r>
        <w:rPr>
          <w:sz w:val="28"/>
          <w:szCs w:val="28"/>
        </w:rPr>
        <w:lastRenderedPageBreak/>
        <w:t xml:space="preserve">Pour arriver à une telle solution, le juge du droit a d’abord par les articles visés (323, 382, 383 et 258 du COCC) détermine l’étendue du formalisme pour les transactions immobilières puis en tire implicitement le rejet d’une perfection de la vente d’immeuble constatée par acte sous seing privé. Ce qui nous </w:t>
      </w:r>
      <w:r w:rsidR="007A255D">
        <w:rPr>
          <w:sz w:val="28"/>
          <w:szCs w:val="28"/>
        </w:rPr>
        <w:t>mènera</w:t>
      </w:r>
      <w:r>
        <w:rPr>
          <w:sz w:val="28"/>
          <w:szCs w:val="28"/>
        </w:rPr>
        <w:t xml:space="preserve"> à démontrer l’exigence d’acte notarié pour le</w:t>
      </w:r>
      <w:r w:rsidR="007A255D">
        <w:rPr>
          <w:sz w:val="28"/>
          <w:szCs w:val="28"/>
        </w:rPr>
        <w:t>s transactions immobilières (I).</w:t>
      </w:r>
    </w:p>
    <w:p w:rsidR="007A255D" w:rsidRDefault="007A255D" w:rsidP="0061479F">
      <w:pPr>
        <w:jc w:val="both"/>
        <w:rPr>
          <w:sz w:val="28"/>
          <w:szCs w:val="28"/>
        </w:rPr>
      </w:pPr>
      <w:r>
        <w:rPr>
          <w:sz w:val="28"/>
          <w:szCs w:val="28"/>
        </w:rPr>
        <w:t>Toutefois, une telle solution qui étend la portée de l’exigence d’acte notarié pour les transactions immobilières a été dépassée depuis un arrêt du 19 juin 2012 rendu par les chambres réunies de la Cour suprême (II).</w:t>
      </w:r>
    </w:p>
    <w:p w:rsidR="00823525" w:rsidRDefault="00823525" w:rsidP="0061479F">
      <w:pPr>
        <w:jc w:val="both"/>
        <w:rPr>
          <w:sz w:val="28"/>
          <w:szCs w:val="28"/>
        </w:rPr>
      </w:pPr>
    </w:p>
    <w:p w:rsidR="00823525" w:rsidRPr="00823525" w:rsidRDefault="00823525" w:rsidP="0061479F">
      <w:pPr>
        <w:jc w:val="both"/>
        <w:rPr>
          <w:b/>
          <w:sz w:val="28"/>
          <w:szCs w:val="28"/>
          <w:u w:val="single"/>
        </w:rPr>
      </w:pPr>
      <w:r w:rsidRPr="00823525">
        <w:rPr>
          <w:b/>
          <w:sz w:val="28"/>
          <w:szCs w:val="28"/>
        </w:rPr>
        <w:t>I / –</w:t>
      </w:r>
      <w:r w:rsidRPr="00823525">
        <w:rPr>
          <w:b/>
          <w:sz w:val="28"/>
          <w:szCs w:val="28"/>
          <w:u w:val="single"/>
        </w:rPr>
        <w:t>L’Exigence d’acte notarié pour les transactions immobilières</w:t>
      </w:r>
    </w:p>
    <w:p w:rsidR="00823525" w:rsidRDefault="00823525" w:rsidP="0061479F">
      <w:pPr>
        <w:jc w:val="both"/>
        <w:rPr>
          <w:sz w:val="28"/>
          <w:szCs w:val="28"/>
        </w:rPr>
      </w:pPr>
      <w:r>
        <w:rPr>
          <w:sz w:val="28"/>
          <w:szCs w:val="28"/>
        </w:rPr>
        <w:t>Le juge a dans ses motivations décliné l’étendue de cette exigence de formalisme (A) même s’il n’a été interpellé que relativement à la promesse synallagmatique et à la procuration dont elle fait l’objet. La conséquence de cette exigence est ainsi l’impossibilité d’ordonner la perfection d’une vente qui ne respecte pas cette règle (B).</w:t>
      </w:r>
    </w:p>
    <w:p w:rsidR="00823525" w:rsidRPr="00A86A76" w:rsidRDefault="00823525" w:rsidP="0061479F">
      <w:pPr>
        <w:jc w:val="both"/>
        <w:rPr>
          <w:b/>
          <w:sz w:val="28"/>
          <w:szCs w:val="28"/>
        </w:rPr>
      </w:pPr>
      <w:r w:rsidRPr="00A86A76">
        <w:rPr>
          <w:b/>
          <w:sz w:val="28"/>
          <w:szCs w:val="28"/>
        </w:rPr>
        <w:t>A / L’étendue de l’exigence du formalisme</w:t>
      </w:r>
    </w:p>
    <w:p w:rsidR="00823525" w:rsidRDefault="00823525" w:rsidP="0061479F">
      <w:pPr>
        <w:jc w:val="both"/>
        <w:rPr>
          <w:sz w:val="28"/>
          <w:szCs w:val="28"/>
        </w:rPr>
      </w:pPr>
      <w:r>
        <w:rPr>
          <w:sz w:val="28"/>
          <w:szCs w:val="28"/>
        </w:rPr>
        <w:t>Les transactions immobilières, compte tenu de leur importance tant sociale qu’économique, sont encadrées par un formalisme rigoureux. C’est objectif</w:t>
      </w:r>
      <w:r w:rsidR="00A86A76">
        <w:rPr>
          <w:sz w:val="28"/>
          <w:szCs w:val="28"/>
        </w:rPr>
        <w:t xml:space="preserve"> visé par le législateur à travers l’article 383 du COCC au visa de l’</w:t>
      </w:r>
      <w:r w:rsidR="00D82E73">
        <w:rPr>
          <w:sz w:val="28"/>
          <w:szCs w:val="28"/>
        </w:rPr>
        <w:t>arrêt</w:t>
      </w:r>
      <w:r w:rsidR="00A86A76">
        <w:rPr>
          <w:sz w:val="28"/>
          <w:szCs w:val="28"/>
        </w:rPr>
        <w:t xml:space="preserve"> commenté.</w:t>
      </w:r>
    </w:p>
    <w:p w:rsidR="00A86A76" w:rsidRDefault="00A86A76" w:rsidP="0061479F">
      <w:pPr>
        <w:jc w:val="both"/>
        <w:rPr>
          <w:sz w:val="28"/>
          <w:szCs w:val="28"/>
        </w:rPr>
      </w:pPr>
      <w:r>
        <w:rPr>
          <w:sz w:val="28"/>
          <w:szCs w:val="28"/>
        </w:rPr>
        <w:t>En l’espèce, c’est ce qu’a rappelé le juge de cassation lorsqu’il censure la confirmation faite par la Cour d’appel. Cette dernière n’a pas tiré les conséquences d’une constatation. C’est celle d’une promesse synallagmatique de contrat portant sur un immeuble immatriculé et constaté par simple acte sous seing privé, c’est-à-dire un acte revêtu de la signature des parties. Or, il apparait clairement  à l’article 383 que les transactions portant sur un immeuble immatriculé doivent faire l’objet d’un acte notarié. Le seul doute était lié à la question de savoir si cette exigence concernée la promesse de contrait qu’il faut distinguer d’un contrat définitif mais aussi de la procuration dans le cadre d’une telle opération.</w:t>
      </w:r>
    </w:p>
    <w:p w:rsidR="00A86A76" w:rsidRDefault="00A86A76" w:rsidP="0061479F">
      <w:pPr>
        <w:jc w:val="both"/>
        <w:rPr>
          <w:sz w:val="28"/>
          <w:szCs w:val="28"/>
        </w:rPr>
      </w:pPr>
      <w:r>
        <w:rPr>
          <w:sz w:val="28"/>
          <w:szCs w:val="28"/>
        </w:rPr>
        <w:lastRenderedPageBreak/>
        <w:t>Sur cette question, le juge de cassation affirme clairement que aussi bien « la vente, que la promesse synallagmatique de vente d’un immeuble immatriculé ainsi que la procuration donnée pour conclure de tels actes doivent à peine de nullité absolues être passées par devant notaire ».</w:t>
      </w:r>
    </w:p>
    <w:p w:rsidR="00A86A76" w:rsidRDefault="00A86A76" w:rsidP="0061479F">
      <w:pPr>
        <w:jc w:val="both"/>
        <w:rPr>
          <w:sz w:val="28"/>
          <w:szCs w:val="28"/>
        </w:rPr>
      </w:pPr>
      <w:r>
        <w:rPr>
          <w:sz w:val="28"/>
          <w:szCs w:val="28"/>
        </w:rPr>
        <w:t>Il s’ensuit que la promesse de vente est irrégulière lorsqu’elle est constatée par acte sous seing et par conséquent il y aura une impossibilité d’ordonner la perfection d’une vente constatée par acte sous seing privé.</w:t>
      </w:r>
    </w:p>
    <w:p w:rsidR="00A86A76" w:rsidRPr="00A86A76" w:rsidRDefault="00A86A76" w:rsidP="0061479F">
      <w:pPr>
        <w:jc w:val="both"/>
        <w:rPr>
          <w:b/>
          <w:sz w:val="28"/>
          <w:szCs w:val="28"/>
        </w:rPr>
      </w:pPr>
      <w:r w:rsidRPr="00A86A76">
        <w:rPr>
          <w:b/>
          <w:sz w:val="28"/>
          <w:szCs w:val="28"/>
        </w:rPr>
        <w:t>B / L’impossibilité d’ordonner la perfection de la vente d’immeuble constatée par acte sous seing privé</w:t>
      </w:r>
    </w:p>
    <w:p w:rsidR="00A86A76" w:rsidRDefault="00A86A76" w:rsidP="0061479F">
      <w:pPr>
        <w:jc w:val="both"/>
        <w:rPr>
          <w:sz w:val="28"/>
          <w:szCs w:val="28"/>
        </w:rPr>
      </w:pPr>
      <w:r>
        <w:rPr>
          <w:sz w:val="28"/>
          <w:szCs w:val="28"/>
        </w:rPr>
        <w:t>La transaction immobilière, lorsqu’elle ne respecte pas le formalisme n’est pas valable et on ne saurait parler</w:t>
      </w:r>
      <w:r w:rsidR="00BE53F5">
        <w:rPr>
          <w:sz w:val="28"/>
          <w:szCs w:val="28"/>
        </w:rPr>
        <w:t xml:space="preserve"> dans ce cas de perfection de la vente. Cette dernière suppose pour les parties à accomplir les formalités au niveau de la conservation foncière. C’est-à-dire inscrire le droit réel et le publier conformément à la loi du 3 mars 2011 sur la propriété foncière. Tant que ces formalités ne sont pas accomplies, la relation entre les parties s’analyse en une promesse synallagmatique de contrat qui les oblige à parfaire le contrat de vente. Mais, encore faudrait-il que cette promesse soit constatée par un acte notarié c’est ce que rappelle l’arrêt commenté en excluant la perfection demandée par les juges du fond. Autrement dit, par une telle décision, le juge de cassation considère que la promesse entre les deux parties est nulle et d’une nullité absolue dès lors qu’elle n’est, constatée que par un acte sous seing privé.</w:t>
      </w:r>
    </w:p>
    <w:p w:rsidR="00BE53F5" w:rsidRDefault="00642DFE" w:rsidP="0061479F">
      <w:pPr>
        <w:jc w:val="both"/>
        <w:rPr>
          <w:sz w:val="28"/>
          <w:szCs w:val="28"/>
        </w:rPr>
      </w:pPr>
      <w:r>
        <w:rPr>
          <w:sz w:val="28"/>
          <w:szCs w:val="28"/>
        </w:rPr>
        <w:t>Une telle solution justifiée par le souci de sécurité est aux antipodes du monde économique actuel, de celui des  affaires où le maitre mot est la rapidité. En effet, le formalisme, en l’occurrence l’acte notarié, est lourd tant sur la durée que sur les honoraires du notaire. Toutefois, on devrait, dans une vue économiste, permettre aux parties de pouvoir commencer leurs transactions sur la base d’un acte sous seing privé.</w:t>
      </w:r>
    </w:p>
    <w:p w:rsidR="00642DFE" w:rsidRDefault="00642DFE" w:rsidP="0061479F">
      <w:pPr>
        <w:jc w:val="both"/>
        <w:rPr>
          <w:sz w:val="28"/>
          <w:szCs w:val="28"/>
        </w:rPr>
      </w:pPr>
      <w:r>
        <w:rPr>
          <w:sz w:val="28"/>
          <w:szCs w:val="28"/>
        </w:rPr>
        <w:t>Au demeurant, les parties devront toujours se munir d’un acte notarié pour continuer  les formalités au niveau de la conservation foncière.</w:t>
      </w:r>
      <w:r>
        <w:rPr>
          <w:sz w:val="28"/>
          <w:szCs w:val="28"/>
        </w:rPr>
        <w:br/>
        <w:t xml:space="preserve">Quoi qu’il en soit, le juge rappelle avec force dans cet arrêt la valeur de l’acte authentique sur les transactions immobilières. Cette solution, certes conforme </w:t>
      </w:r>
      <w:r>
        <w:rPr>
          <w:sz w:val="28"/>
          <w:szCs w:val="28"/>
        </w:rPr>
        <w:lastRenderedPageBreak/>
        <w:t>au COCC a été remise en cause par la même cour suprême qui a reviré sa jurisprudence en 2012.</w:t>
      </w:r>
    </w:p>
    <w:p w:rsidR="00D82E73" w:rsidRDefault="00D82E73" w:rsidP="0061479F">
      <w:pPr>
        <w:jc w:val="both"/>
        <w:rPr>
          <w:sz w:val="28"/>
          <w:szCs w:val="28"/>
        </w:rPr>
      </w:pPr>
    </w:p>
    <w:p w:rsidR="00D82E73" w:rsidRDefault="00D82E73" w:rsidP="0061479F">
      <w:pPr>
        <w:jc w:val="both"/>
        <w:rPr>
          <w:sz w:val="28"/>
          <w:szCs w:val="28"/>
        </w:rPr>
      </w:pPr>
    </w:p>
    <w:p w:rsidR="00642DFE" w:rsidRPr="00F5102A" w:rsidRDefault="00642DFE" w:rsidP="0061479F">
      <w:pPr>
        <w:jc w:val="both"/>
        <w:rPr>
          <w:b/>
          <w:sz w:val="28"/>
          <w:szCs w:val="28"/>
        </w:rPr>
      </w:pPr>
      <w:r w:rsidRPr="00F5102A">
        <w:rPr>
          <w:b/>
          <w:sz w:val="28"/>
          <w:szCs w:val="28"/>
        </w:rPr>
        <w:t>II/ Une solution dépassée</w:t>
      </w:r>
    </w:p>
    <w:p w:rsidR="00642DFE" w:rsidRDefault="00F5102A" w:rsidP="0061479F">
      <w:pPr>
        <w:jc w:val="both"/>
        <w:rPr>
          <w:sz w:val="28"/>
          <w:szCs w:val="28"/>
        </w:rPr>
      </w:pPr>
      <w:r>
        <w:rPr>
          <w:sz w:val="28"/>
          <w:szCs w:val="28"/>
        </w:rPr>
        <w:t>Spécifiquement sur la promesse synallagmatique de vente en matière immobilière, la Cour suprême a reviré sa jurisprudence en admettant la possibilité d’un</w:t>
      </w:r>
      <w:r w:rsidR="00D82E73">
        <w:rPr>
          <w:sz w:val="28"/>
          <w:szCs w:val="28"/>
        </w:rPr>
        <w:t>e</w:t>
      </w:r>
      <w:r>
        <w:rPr>
          <w:sz w:val="28"/>
          <w:szCs w:val="28"/>
        </w:rPr>
        <w:t xml:space="preserve"> promesse synallagmatique constatée par acte sous seing privé (B) après avoir rappelé la distinction entre la promesse synallagmatique et le contrat définitif  (A).</w:t>
      </w:r>
    </w:p>
    <w:p w:rsidR="00F5102A" w:rsidRPr="00F5102A" w:rsidRDefault="00F5102A" w:rsidP="0061479F">
      <w:pPr>
        <w:jc w:val="both"/>
        <w:rPr>
          <w:b/>
          <w:sz w:val="28"/>
          <w:szCs w:val="28"/>
        </w:rPr>
      </w:pPr>
      <w:r w:rsidRPr="00F5102A">
        <w:rPr>
          <w:b/>
          <w:sz w:val="28"/>
          <w:szCs w:val="28"/>
        </w:rPr>
        <w:t>A/ Distinction entre promesse synallagmatique et contrat définitif</w:t>
      </w:r>
    </w:p>
    <w:p w:rsidR="00F5102A" w:rsidRDefault="00F5102A" w:rsidP="0061479F">
      <w:pPr>
        <w:jc w:val="both"/>
        <w:rPr>
          <w:sz w:val="28"/>
          <w:szCs w:val="28"/>
        </w:rPr>
      </w:pPr>
      <w:r>
        <w:rPr>
          <w:sz w:val="28"/>
          <w:szCs w:val="28"/>
        </w:rPr>
        <w:t xml:space="preserve">L’arrêt des chambres réunies en date du 19 juin 2012 est venu mettre fin à une vive controverse doctrinale et jurisprudentielle. </w:t>
      </w:r>
    </w:p>
    <w:p w:rsidR="00F5102A" w:rsidRDefault="00F5102A" w:rsidP="0061479F">
      <w:pPr>
        <w:jc w:val="both"/>
        <w:rPr>
          <w:sz w:val="28"/>
          <w:szCs w:val="28"/>
        </w:rPr>
      </w:pPr>
      <w:r>
        <w:rPr>
          <w:sz w:val="28"/>
          <w:szCs w:val="28"/>
        </w:rPr>
        <w:t xml:space="preserve">En effet, même les cours d’appel résistaient à l’interprétation de la cour de cassation relativement à la question de savoir si la promesse synallagmatique de contrat pouvait être constatée  par acte sous seing privé lorsqu’elle porte sur un immeuble. </w:t>
      </w:r>
    </w:p>
    <w:p w:rsidR="00F5102A" w:rsidRDefault="00F5102A" w:rsidP="0061479F">
      <w:pPr>
        <w:jc w:val="both"/>
        <w:rPr>
          <w:sz w:val="28"/>
          <w:szCs w:val="28"/>
        </w:rPr>
      </w:pPr>
      <w:r>
        <w:rPr>
          <w:sz w:val="28"/>
          <w:szCs w:val="28"/>
        </w:rPr>
        <w:t>D’ailleurs c’est ce qui a justifié la saisine des chambres réunies puisqu’une affaire opposant la CBAO et la société Express transit a fait l’objet de deux pouvoirs pour les mêmes moyens et entre les mêmes parties.</w:t>
      </w:r>
    </w:p>
    <w:p w:rsidR="00F5102A" w:rsidRDefault="00F5102A" w:rsidP="0061479F">
      <w:pPr>
        <w:jc w:val="both"/>
        <w:rPr>
          <w:sz w:val="28"/>
          <w:szCs w:val="28"/>
        </w:rPr>
      </w:pPr>
      <w:r>
        <w:rPr>
          <w:sz w:val="28"/>
          <w:szCs w:val="28"/>
        </w:rPr>
        <w:t xml:space="preserve">Sur ce, les chambres réunies, dans une décision devant s’imposer à toute la hiérarchie judiciaire ont décidé qu’il fallait distinguer la promesse synallagmatique du contrat définitif surtout pour les contrats réels. La promesse </w:t>
      </w:r>
      <w:r w:rsidR="00087EE4">
        <w:rPr>
          <w:sz w:val="28"/>
          <w:szCs w:val="28"/>
        </w:rPr>
        <w:t>synallagmatique faisant obligation que parties de parfaire leur contrat.</w:t>
      </w:r>
    </w:p>
    <w:p w:rsidR="00087EE4" w:rsidRDefault="00087EE4" w:rsidP="0061479F">
      <w:pPr>
        <w:jc w:val="both"/>
        <w:rPr>
          <w:sz w:val="28"/>
          <w:szCs w:val="28"/>
        </w:rPr>
      </w:pPr>
      <w:r>
        <w:rPr>
          <w:sz w:val="28"/>
          <w:szCs w:val="28"/>
        </w:rPr>
        <w:t>Cette distinction rappelée par la cour suprême dans la décision du 19 juin 2012 n’a rien d’original par rapport à l’arrêt commenté. Seulement, elle aura le mérite de justifier l’admission d’une promesse synallagmatique constatée par acte sous seing privé.</w:t>
      </w:r>
    </w:p>
    <w:p w:rsidR="00087EE4" w:rsidRPr="00087EE4" w:rsidRDefault="00087EE4" w:rsidP="0061479F">
      <w:pPr>
        <w:jc w:val="both"/>
        <w:rPr>
          <w:b/>
          <w:sz w:val="28"/>
          <w:szCs w:val="28"/>
        </w:rPr>
      </w:pPr>
      <w:r w:rsidRPr="00087EE4">
        <w:rPr>
          <w:b/>
          <w:sz w:val="28"/>
          <w:szCs w:val="28"/>
        </w:rPr>
        <w:lastRenderedPageBreak/>
        <w:t>B / L’admission de la promesse synallagmatique constatée par acte sous seing privé</w:t>
      </w:r>
    </w:p>
    <w:p w:rsidR="00087EE4" w:rsidRDefault="00087EE4" w:rsidP="0061479F">
      <w:pPr>
        <w:jc w:val="both"/>
        <w:rPr>
          <w:sz w:val="28"/>
          <w:szCs w:val="28"/>
        </w:rPr>
      </w:pPr>
      <w:r>
        <w:rPr>
          <w:sz w:val="28"/>
          <w:szCs w:val="28"/>
        </w:rPr>
        <w:t>Avec l’arrêt des chambres réunies en date du 19 juin 2012, la portée de l’exigence d’un acte notarié pour les transactions immobilières a été réduite. Désormais, contrairement à l’avis du juge de l’arrêt commenté, une des transactions immobilières portant sur un immeuble immatriculé, peut être constatée par simple acte sous seing privé. Ce qui reviendrait à dire dans le cas d’espèce que le juge qui avait ordonné la perfection de la vente sur base d’un acte sous seing privé, aurait avec cette jurisprudence raison de le faire. Car  ce cas, la convention n’aurait pas été frappée de nullité absolue.</w:t>
      </w:r>
      <w:r>
        <w:rPr>
          <w:sz w:val="28"/>
          <w:szCs w:val="28"/>
        </w:rPr>
        <w:br/>
        <w:t>Cette décision des chambres réunies, quoique salutaire sur le plan économique, est critiquable sur le plan du droit. En effet, le juge dans l’arrêt commenté a été plus prudent, plus soucieux du respect des textes, car l’article 383 du COCC qui impose ce formalisme pour les transactions immob</w:t>
      </w:r>
      <w:r w:rsidR="003053CD">
        <w:rPr>
          <w:sz w:val="28"/>
          <w:szCs w:val="28"/>
        </w:rPr>
        <w:t>i</w:t>
      </w:r>
      <w:r>
        <w:rPr>
          <w:sz w:val="28"/>
          <w:szCs w:val="28"/>
        </w:rPr>
        <w:t xml:space="preserve">lières ne distingue pas la catégorie des contrats portant sur l’immeuble. Cette disposition </w:t>
      </w:r>
      <w:r w:rsidR="003053CD">
        <w:rPr>
          <w:sz w:val="28"/>
          <w:szCs w:val="28"/>
        </w:rPr>
        <w:t xml:space="preserve">vise « le contrat » et non le contrat de vente. Or, à moins </w:t>
      </w:r>
      <w:r>
        <w:rPr>
          <w:sz w:val="28"/>
          <w:szCs w:val="28"/>
        </w:rPr>
        <w:t>de dire</w:t>
      </w:r>
      <w:r w:rsidR="003053CD">
        <w:rPr>
          <w:sz w:val="28"/>
          <w:szCs w:val="28"/>
        </w:rPr>
        <w:t xml:space="preserve"> que la promesse synallagmatique n’est pas un contrat, elle est bel et bien visée par cette disposition. Pourtant, c’est l’aboutissement de l’arrêt de 2012, c’est-à-dire la promesse ne doit plus être considérée comme un contrat alors que celle-ci obéit parfaitement à la définition de l’article 40 du COCC.</w:t>
      </w:r>
    </w:p>
    <w:p w:rsidR="00850E32" w:rsidRDefault="003053CD" w:rsidP="0061479F">
      <w:pPr>
        <w:jc w:val="both"/>
        <w:rPr>
          <w:sz w:val="28"/>
          <w:szCs w:val="28"/>
        </w:rPr>
      </w:pPr>
      <w:r>
        <w:rPr>
          <w:sz w:val="28"/>
          <w:szCs w:val="28"/>
        </w:rPr>
        <w:t>Pour ces raisons juridiques, l’arrêt commenté est à bien des égards préférables à celui de 2012 qui toutefois l’a dépassé.</w:t>
      </w:r>
    </w:p>
    <w:p w:rsidR="00850E32" w:rsidRDefault="00850E32" w:rsidP="0061479F">
      <w:pPr>
        <w:jc w:val="both"/>
        <w:rPr>
          <w:sz w:val="28"/>
          <w:szCs w:val="28"/>
        </w:rPr>
      </w:pPr>
    </w:p>
    <w:sectPr w:rsidR="00850E32">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987" w:rsidRDefault="009B1987" w:rsidP="00D82E73">
      <w:pPr>
        <w:spacing w:after="0" w:line="240" w:lineRule="auto"/>
      </w:pPr>
      <w:r>
        <w:separator/>
      </w:r>
    </w:p>
  </w:endnote>
  <w:endnote w:type="continuationSeparator" w:id="0">
    <w:p w:rsidR="009B1987" w:rsidRDefault="009B1987" w:rsidP="00D82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3910500"/>
      <w:docPartObj>
        <w:docPartGallery w:val="Page Numbers (Bottom of Page)"/>
        <w:docPartUnique/>
      </w:docPartObj>
    </w:sdtPr>
    <w:sdtEndPr/>
    <w:sdtContent>
      <w:p w:rsidR="00D82E73" w:rsidRDefault="00D82E73">
        <w:pPr>
          <w:pStyle w:val="Pieddepage"/>
          <w:jc w:val="center"/>
        </w:pPr>
        <w:r>
          <w:fldChar w:fldCharType="begin"/>
        </w:r>
        <w:r>
          <w:instrText>PAGE   \* MERGEFORMAT</w:instrText>
        </w:r>
        <w:r>
          <w:fldChar w:fldCharType="separate"/>
        </w:r>
        <w:r w:rsidR="007D2088">
          <w:rPr>
            <w:noProof/>
          </w:rPr>
          <w:t>2</w:t>
        </w:r>
        <w:r>
          <w:fldChar w:fldCharType="end"/>
        </w:r>
      </w:p>
    </w:sdtContent>
  </w:sdt>
  <w:p w:rsidR="00D82E73" w:rsidRDefault="00D82E73">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987" w:rsidRDefault="009B1987" w:rsidP="00D82E73">
      <w:pPr>
        <w:spacing w:after="0" w:line="240" w:lineRule="auto"/>
      </w:pPr>
      <w:r>
        <w:separator/>
      </w:r>
    </w:p>
  </w:footnote>
  <w:footnote w:type="continuationSeparator" w:id="0">
    <w:p w:rsidR="009B1987" w:rsidRDefault="009B1987" w:rsidP="00D82E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6B8"/>
    <w:rsid w:val="00081F51"/>
    <w:rsid w:val="00087EE4"/>
    <w:rsid w:val="000A4025"/>
    <w:rsid w:val="000B66B8"/>
    <w:rsid w:val="00143518"/>
    <w:rsid w:val="001440DA"/>
    <w:rsid w:val="0025196F"/>
    <w:rsid w:val="002E0CC9"/>
    <w:rsid w:val="003053CD"/>
    <w:rsid w:val="00360FA7"/>
    <w:rsid w:val="00383803"/>
    <w:rsid w:val="003967FC"/>
    <w:rsid w:val="003A00F9"/>
    <w:rsid w:val="004465C7"/>
    <w:rsid w:val="00461FB9"/>
    <w:rsid w:val="004A4D28"/>
    <w:rsid w:val="004C1C1C"/>
    <w:rsid w:val="00594936"/>
    <w:rsid w:val="005A2B4B"/>
    <w:rsid w:val="005E4AF6"/>
    <w:rsid w:val="0061479F"/>
    <w:rsid w:val="00642DFE"/>
    <w:rsid w:val="006651D2"/>
    <w:rsid w:val="00676218"/>
    <w:rsid w:val="006961F4"/>
    <w:rsid w:val="00717855"/>
    <w:rsid w:val="007539DD"/>
    <w:rsid w:val="007A195F"/>
    <w:rsid w:val="007A255D"/>
    <w:rsid w:val="007C7BC2"/>
    <w:rsid w:val="007D2088"/>
    <w:rsid w:val="00811F72"/>
    <w:rsid w:val="00823525"/>
    <w:rsid w:val="00850E32"/>
    <w:rsid w:val="00883877"/>
    <w:rsid w:val="00972641"/>
    <w:rsid w:val="009A0B37"/>
    <w:rsid w:val="009B1987"/>
    <w:rsid w:val="00A22F21"/>
    <w:rsid w:val="00A86A76"/>
    <w:rsid w:val="00AB07BD"/>
    <w:rsid w:val="00B17832"/>
    <w:rsid w:val="00B623E6"/>
    <w:rsid w:val="00BA39FF"/>
    <w:rsid w:val="00BE53F5"/>
    <w:rsid w:val="00BE5611"/>
    <w:rsid w:val="00C10913"/>
    <w:rsid w:val="00D82E73"/>
    <w:rsid w:val="00D95C72"/>
    <w:rsid w:val="00E17BF2"/>
    <w:rsid w:val="00E81373"/>
    <w:rsid w:val="00EA0FE3"/>
    <w:rsid w:val="00EA1F19"/>
    <w:rsid w:val="00ED036B"/>
    <w:rsid w:val="00F11E3B"/>
    <w:rsid w:val="00F5102A"/>
    <w:rsid w:val="00F57069"/>
    <w:rsid w:val="00F850F6"/>
    <w:rsid w:val="00FB7E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3D492"/>
  <w15:docId w15:val="{C2190987-70F5-4500-80E9-BCC3E85A3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82E73"/>
    <w:pPr>
      <w:tabs>
        <w:tab w:val="center" w:pos="4536"/>
        <w:tab w:val="right" w:pos="9072"/>
      </w:tabs>
      <w:spacing w:after="0" w:line="240" w:lineRule="auto"/>
    </w:pPr>
  </w:style>
  <w:style w:type="character" w:customStyle="1" w:styleId="En-tteCar">
    <w:name w:val="En-tête Car"/>
    <w:basedOn w:val="Policepardfaut"/>
    <w:link w:val="En-tte"/>
    <w:uiPriority w:val="99"/>
    <w:rsid w:val="00D82E73"/>
  </w:style>
  <w:style w:type="paragraph" w:styleId="Pieddepage">
    <w:name w:val="footer"/>
    <w:basedOn w:val="Normal"/>
    <w:link w:val="PieddepageCar"/>
    <w:uiPriority w:val="99"/>
    <w:unhideWhenUsed/>
    <w:rsid w:val="00D82E7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82E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693</TotalTime>
  <Pages>5</Pages>
  <Words>1437</Words>
  <Characters>7904</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CFJ</dc:creator>
  <cp:lastModifiedBy>DELL</cp:lastModifiedBy>
  <cp:revision>22</cp:revision>
  <dcterms:created xsi:type="dcterms:W3CDTF">2016-12-30T10:46:00Z</dcterms:created>
  <dcterms:modified xsi:type="dcterms:W3CDTF">2025-07-15T10:13:00Z</dcterms:modified>
</cp:coreProperties>
</file>