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A24" w:rsidRPr="00881727" w:rsidRDefault="00F87A24" w:rsidP="00F87A24">
      <w:pPr>
        <w:tabs>
          <w:tab w:val="left" w:pos="1530"/>
        </w:tabs>
        <w:spacing w:after="0" w:line="240" w:lineRule="auto"/>
        <w:jc w:val="both"/>
        <w:rPr>
          <w:rFonts w:ascii="Times New Roman" w:hAnsi="Times New Roman" w:cs="Times New Roman"/>
          <w:b/>
          <w:bCs/>
          <w:sz w:val="24"/>
          <w:szCs w:val="24"/>
        </w:rPr>
      </w:pPr>
      <w:bookmarkStart w:id="0" w:name="_GoBack"/>
      <w:bookmarkEnd w:id="0"/>
      <w:r w:rsidRPr="00881727">
        <w:rPr>
          <w:rFonts w:ascii="Bookman Old Style" w:eastAsia="Times New Roman" w:hAnsi="Bookman Old Style" w:cs="Arial"/>
          <w:b/>
          <w:noProof/>
          <w:color w:val="000099"/>
          <w:sz w:val="24"/>
          <w:szCs w:val="24"/>
          <w:lang w:val="fr-FR" w:eastAsia="fr-FR"/>
        </w:rPr>
        <w:drawing>
          <wp:anchor distT="36576" distB="36576" distL="36576" distR="36576" simplePos="0" relativeHeight="251660288" behindDoc="0" locked="0" layoutInCell="1" allowOverlap="1" wp14:anchorId="47ED3BFA" wp14:editId="7322CD85">
            <wp:simplePos x="0" y="0"/>
            <wp:positionH relativeFrom="margin">
              <wp:align>center</wp:align>
            </wp:positionH>
            <wp:positionV relativeFrom="paragraph">
              <wp:posOffset>135890</wp:posOffset>
            </wp:positionV>
            <wp:extent cx="990600" cy="523875"/>
            <wp:effectExtent l="0" t="0" r="0" b="9525"/>
            <wp:wrapTopAndBottom/>
            <wp:docPr id="6" name="Image 6" descr="drapeau_sen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drapeau_seneg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1727">
        <w:rPr>
          <w:rFonts w:ascii="Edwardian Script ITC" w:hAnsi="Edwardian Script ITC"/>
          <w:b/>
          <w:i/>
          <w:noProof/>
          <w:sz w:val="24"/>
          <w:szCs w:val="24"/>
          <w:lang w:val="fr-FR" w:eastAsia="fr-FR"/>
        </w:rPr>
        <w:drawing>
          <wp:anchor distT="0" distB="0" distL="114300" distR="114300" simplePos="0" relativeHeight="251659264" behindDoc="0" locked="0" layoutInCell="1" allowOverlap="1" wp14:anchorId="19335025" wp14:editId="60965369">
            <wp:simplePos x="0" y="0"/>
            <wp:positionH relativeFrom="margin">
              <wp:align>left</wp:align>
            </wp:positionH>
            <wp:positionV relativeFrom="paragraph">
              <wp:posOffset>600075</wp:posOffset>
            </wp:positionV>
            <wp:extent cx="1744980" cy="781801"/>
            <wp:effectExtent l="0" t="0" r="762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4980" cy="781801"/>
                    </a:xfrm>
                    <a:prstGeom prst="rect">
                      <a:avLst/>
                    </a:prstGeom>
                    <a:noFill/>
                    <a:ln>
                      <a:noFill/>
                    </a:ln>
                  </pic:spPr>
                </pic:pic>
              </a:graphicData>
            </a:graphic>
          </wp:anchor>
        </w:drawing>
      </w:r>
      <w:r>
        <w:rPr>
          <w:rFonts w:ascii="Times New Roman" w:hAnsi="Times New Roman" w:cs="Times New Roman"/>
          <w:b/>
          <w:bCs/>
          <w:sz w:val="24"/>
          <w:szCs w:val="24"/>
        </w:rPr>
        <w:t xml:space="preserve">           </w:t>
      </w:r>
      <w:r w:rsidRPr="008817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881727">
        <w:rPr>
          <w:rFonts w:ascii="Times New Roman" w:hAnsi="Times New Roman" w:cs="Times New Roman"/>
          <w:b/>
          <w:bCs/>
          <w:sz w:val="24"/>
          <w:szCs w:val="24"/>
        </w:rPr>
        <w:t xml:space="preserve">    </w:t>
      </w:r>
      <w:r w:rsidRPr="00881727">
        <w:rPr>
          <w:rFonts w:ascii="Edwardian Script ITC" w:hAnsi="Edwardian Script ITC"/>
          <w:b/>
          <w:i/>
          <w:noProof/>
          <w:sz w:val="24"/>
          <w:szCs w:val="24"/>
          <w:lang w:val="fr-FR" w:eastAsia="fr-FR"/>
        </w:rPr>
        <w:drawing>
          <wp:inline distT="0" distB="0" distL="0" distR="0" wp14:anchorId="020AD74A" wp14:editId="74F1D3D3">
            <wp:extent cx="1123950" cy="609600"/>
            <wp:effectExtent l="0" t="0" r="0" b="0"/>
            <wp:docPr id="4" name="Image 4" descr="http://www.wbi.be">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www.wbi.b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019" cy="671468"/>
                    </a:xfrm>
                    <a:prstGeom prst="rect">
                      <a:avLst/>
                    </a:prstGeom>
                    <a:noFill/>
                    <a:ln>
                      <a:noFill/>
                    </a:ln>
                  </pic:spPr>
                </pic:pic>
              </a:graphicData>
            </a:graphic>
          </wp:inline>
        </w:drawing>
      </w:r>
    </w:p>
    <w:p w:rsidR="00F87A24" w:rsidRPr="00881727" w:rsidRDefault="00F87A24" w:rsidP="00F87A24">
      <w:pPr>
        <w:tabs>
          <w:tab w:val="left" w:pos="1530"/>
        </w:tabs>
        <w:spacing w:after="0" w:line="240" w:lineRule="auto"/>
        <w:jc w:val="both"/>
        <w:rPr>
          <w:rFonts w:ascii="Times New Roman" w:hAnsi="Times New Roman" w:cs="Times New Roman"/>
          <w:b/>
          <w:bCs/>
          <w:sz w:val="24"/>
          <w:szCs w:val="24"/>
        </w:rPr>
      </w:pPr>
      <w:r w:rsidRPr="00881727">
        <w:rPr>
          <w:rFonts w:ascii="Times New Roman" w:hAnsi="Times New Roman" w:cs="Times New Roman"/>
          <w:b/>
          <w:bCs/>
          <w:sz w:val="24"/>
          <w:szCs w:val="24"/>
        </w:rPr>
        <w:t xml:space="preserve">         </w:t>
      </w:r>
    </w:p>
    <w:p w:rsidR="00F87A24" w:rsidRPr="00881727" w:rsidRDefault="00F87A24" w:rsidP="00F87A24">
      <w:pPr>
        <w:tabs>
          <w:tab w:val="left" w:pos="1530"/>
        </w:tabs>
        <w:spacing w:after="0" w:line="240" w:lineRule="auto"/>
        <w:ind w:left="-709" w:firstLine="709"/>
        <w:jc w:val="both"/>
        <w:rPr>
          <w:rFonts w:ascii="Times New Roman" w:hAnsi="Times New Roman" w:cs="Times New Roman"/>
          <w:b/>
          <w:bCs/>
          <w:sz w:val="24"/>
          <w:szCs w:val="24"/>
        </w:rPr>
      </w:pPr>
      <w:r w:rsidRPr="00881727">
        <w:rPr>
          <w:rFonts w:ascii="Times New Roman" w:hAnsi="Times New Roman" w:cs="Times New Roman"/>
          <w:b/>
          <w:bCs/>
          <w:sz w:val="24"/>
          <w:szCs w:val="24"/>
        </w:rPr>
        <w:t xml:space="preserve">                                                                </w:t>
      </w:r>
      <w:r w:rsidRPr="00881727">
        <w:rPr>
          <w:rFonts w:ascii="Times New Roman" w:hAnsi="Times New Roman" w:cs="Times New Roman"/>
          <w:b/>
          <w:bCs/>
          <w:sz w:val="24"/>
          <w:szCs w:val="24"/>
        </w:rPr>
        <w:tab/>
      </w:r>
    </w:p>
    <w:p w:rsidR="00F87A24" w:rsidRDefault="00F87A24" w:rsidP="00F87A24">
      <w:pPr>
        <w:jc w:val="center"/>
        <w:rPr>
          <w:rFonts w:ascii="Tahoma" w:hAnsi="Tahoma" w:cs="Tahoma"/>
          <w:b/>
          <w:bCs/>
          <w:sz w:val="24"/>
          <w:szCs w:val="24"/>
        </w:rPr>
      </w:pPr>
      <w:r w:rsidRPr="00881727">
        <w:br w:type="textWrapping" w:clear="all"/>
      </w:r>
      <w:r w:rsidRPr="00F55B1C">
        <w:rPr>
          <w:rFonts w:ascii="Tahoma" w:hAnsi="Tahoma" w:cs="Tahoma"/>
          <w:b/>
          <w:bCs/>
          <w:sz w:val="24"/>
          <w:szCs w:val="24"/>
        </w:rPr>
        <w:t>RAPPORT FINAL DU SEMINAIRE</w:t>
      </w:r>
    </w:p>
    <w:p w:rsidR="00F87A24" w:rsidRPr="008A014F" w:rsidRDefault="00F87A24" w:rsidP="00F87A24">
      <w:pPr>
        <w:jc w:val="center"/>
        <w:rPr>
          <w:rFonts w:ascii="Tahoma" w:hAnsi="Tahoma" w:cs="Tahoma"/>
          <w:b/>
          <w:bCs/>
          <w:sz w:val="24"/>
          <w:szCs w:val="24"/>
        </w:rPr>
      </w:pPr>
      <w:r w:rsidRPr="008A014F">
        <w:rPr>
          <w:rFonts w:ascii="Tahoma" w:hAnsi="Tahoma" w:cs="Tahoma"/>
          <w:b/>
          <w:bCs/>
          <w:i/>
          <w:iCs/>
          <w:sz w:val="24"/>
          <w:szCs w:val="24"/>
        </w:rPr>
        <w:t>« Approche transdisciplinaire de la maltraitance infantile : entre soin et protection du 15 au 17 mai au CFJ »</w:t>
      </w:r>
      <w:r>
        <w:rPr>
          <w:rFonts w:ascii="Tahoma" w:hAnsi="Tahoma" w:cs="Tahoma"/>
          <w:b/>
          <w:bCs/>
          <w:sz w:val="24"/>
          <w:szCs w:val="24"/>
        </w:rPr>
        <w:t>.</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 xml:space="preserve">Le Centre de formation judiciaire (CFJ), en collaboration avec l’ASBL « La Pommeraie », a organisé un atelier de formation portant sur le thème </w:t>
      </w:r>
      <w:r w:rsidRPr="00EB2269">
        <w:rPr>
          <w:rFonts w:ascii="Tahoma" w:hAnsi="Tahoma" w:cs="Tahoma"/>
          <w:i/>
          <w:iCs/>
          <w:sz w:val="24"/>
          <w:szCs w:val="24"/>
        </w:rPr>
        <w:t xml:space="preserve">« Approche transdisciplinaire de la maltraitance infantile : entre soin et protection » </w:t>
      </w:r>
      <w:r w:rsidRPr="00EB2269">
        <w:rPr>
          <w:rFonts w:ascii="Tahoma" w:hAnsi="Tahoma" w:cs="Tahoma"/>
          <w:sz w:val="24"/>
          <w:szCs w:val="24"/>
        </w:rPr>
        <w:t>les 15 et 17 mai 2023 au niveau de la salle de conférence de l’établissement.</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 xml:space="preserve">La première journée a débuté par les mots de bienvenue prononcés par le Secrétaire général du CFJ qui, d’abord, a tenu à présenter les excuses du Directeur général invité à une autre activité présidée par le Premier Ministre. Rappelant l’importance du thème de ce séminaire organisé dans le cadre du projet PROMES, il a exprimé toute sa reconnaissance à l’endroit de la Wallonie Bruxelles Internationale pour le financement de cet atelier déjà organisé à Saint-Louis en janvier 2022. Il a ensuite remercié les experts belges sollicités pour l’animation de l’atelier et les participants qui ont répondu à l’invitation du CFJ avant de souhaiter un plein succès pour les travaux. </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Ensuite, Monsieur Benoit Richard a pris la parole pour remercier le CFJ d’avoir bien voulu maintenir l’organisation de ce séminaire qui coïncide avec la programmation des examens de sortie des auditeurs de justice et élèves greffiers. Il a ensuite précisé que cette activité est une continuité du programme de renforcement de capacités décliné dans le projet PROMES et qu’elle sera animée par les experts belges, Messieurs Quentin Bullens et Michel Dechamps.</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A la suite de la présentation des participants, les experts belges ont, tour à tour, salué l’organisation de l’atelier sur la maltraitance des enfants. Ils ont présenté le programme du séminaire qui porte sur trois jours de partage de connaissances et d’expériences dans le domaine de la maltraitance.</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 xml:space="preserve">Ils ont en outre présenté la première communication portant sur « Le développement de l’enfant » en rappelant le modèle du biologiste, psychologue, Jean Piaget, selon lequel il y’a quatre stades de développement de l’enfant. Ces différents stades de développement, en lien avec la scolarité, sont très influencés par l’environnement social de l’enfant. Il s’agit du stade sensori-moteur (0 à 2 ans), du stade pré-opératoire (2 à 7 ans), du stade opératoire concret (7 à 11 ans) et du stade opératoire formel (11 à 16). </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 xml:space="preserve">Evoquant les travaux du Psychiatre et Psychanalyste anglais, John Bowlby sur la théorie de l’attachement, la relation parent-enfant, les experts ont souligné que le bébé humain est </w:t>
      </w:r>
      <w:r w:rsidRPr="00EB2269">
        <w:rPr>
          <w:rFonts w:ascii="Tahoma" w:hAnsi="Tahoma" w:cs="Tahoma"/>
          <w:sz w:val="24"/>
          <w:szCs w:val="24"/>
        </w:rPr>
        <w:lastRenderedPageBreak/>
        <w:t>doté de peu d’intelligences mais avec des comportements d’attachement et de signalisation. Ainsi, les enfants maltraités ont un système d’attachement désactivé et deviennent sécures et évitants. Quant aux enfants qui sont dans une situation d’ambivalence, leur système d’attachement est suractivé donc insécure.</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Les débats qui ont suivis cette première présentation ont notamment porté sur les différentes manifestations du comportement d’attachement notées chez les enfants et qui sont liées aux particularités individuelles et aux interactions avec les parents. Il a été relevé également que le comportement négatif de l’enfant est souvent lié à son environnement et que la coparentalité influe sur le développement de l’enfant.</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 xml:space="preserve">Par la suite, les experts ont présenté une seconde communication portant sur « Approche théorique de maltraitance infantile » et ont d’abord rappelé que la maltraitance est définie par Finkelhor et Korbin, comme étant de </w:t>
      </w:r>
      <w:r w:rsidRPr="00EB2269">
        <w:rPr>
          <w:rFonts w:ascii="Tahoma" w:hAnsi="Tahoma" w:cs="Tahoma"/>
          <w:i/>
          <w:sz w:val="24"/>
          <w:szCs w:val="24"/>
        </w:rPr>
        <w:t>« mauvais traitements subis par l’enfant résultant d’une action humaine qui est reprouvée, qui se produit dans l’environnement immédiat et qui peut être prévenue »</w:t>
      </w:r>
      <w:r w:rsidRPr="00EB2269">
        <w:rPr>
          <w:rFonts w:ascii="Tahoma" w:hAnsi="Tahoma" w:cs="Tahoma"/>
          <w:sz w:val="24"/>
          <w:szCs w:val="24"/>
        </w:rPr>
        <w:t>. Ils ont ensuite relevé les quatre catégories de maltraitances à savoir :</w:t>
      </w:r>
    </w:p>
    <w:p w:rsidR="00F87A24" w:rsidRPr="00EB2269" w:rsidRDefault="00F87A24" w:rsidP="00F87A24">
      <w:pPr>
        <w:pStyle w:val="Paragraphedeliste"/>
        <w:numPr>
          <w:ilvl w:val="0"/>
          <w:numId w:val="8"/>
        </w:numPr>
        <w:jc w:val="both"/>
        <w:rPr>
          <w:rFonts w:ascii="Tahoma" w:hAnsi="Tahoma" w:cs="Tahoma"/>
          <w:sz w:val="24"/>
          <w:szCs w:val="24"/>
        </w:rPr>
      </w:pPr>
      <w:r w:rsidRPr="00EB2269">
        <w:rPr>
          <w:rFonts w:ascii="Tahoma" w:hAnsi="Tahoma" w:cs="Tahoma"/>
          <w:sz w:val="24"/>
          <w:szCs w:val="24"/>
        </w:rPr>
        <w:t>la maltraitance physique qui comporte des aspects psychologiques et médicaux ;</w:t>
      </w:r>
    </w:p>
    <w:p w:rsidR="00F87A24" w:rsidRPr="00EB2269" w:rsidRDefault="00F87A24" w:rsidP="00F87A24">
      <w:pPr>
        <w:pStyle w:val="Paragraphedeliste"/>
        <w:numPr>
          <w:ilvl w:val="0"/>
          <w:numId w:val="8"/>
        </w:numPr>
        <w:jc w:val="both"/>
        <w:rPr>
          <w:rFonts w:ascii="Tahoma" w:hAnsi="Tahoma" w:cs="Tahoma"/>
          <w:sz w:val="24"/>
          <w:szCs w:val="24"/>
        </w:rPr>
      </w:pPr>
      <w:r w:rsidRPr="00EB2269">
        <w:rPr>
          <w:rFonts w:ascii="Tahoma" w:hAnsi="Tahoma" w:cs="Tahoma"/>
          <w:sz w:val="24"/>
          <w:szCs w:val="24"/>
        </w:rPr>
        <w:t>la maltraitance psychologique considérée comme une cruauté mentale. Elle est sous-estimée et peu prise en charge en raison de l’absence de létalité ;</w:t>
      </w:r>
    </w:p>
    <w:p w:rsidR="00F87A24" w:rsidRPr="00EB2269" w:rsidRDefault="00F87A24" w:rsidP="00F87A24">
      <w:pPr>
        <w:pStyle w:val="Paragraphedeliste"/>
        <w:numPr>
          <w:ilvl w:val="0"/>
          <w:numId w:val="8"/>
        </w:numPr>
        <w:jc w:val="both"/>
        <w:rPr>
          <w:rFonts w:ascii="Tahoma" w:hAnsi="Tahoma" w:cs="Tahoma"/>
          <w:sz w:val="24"/>
          <w:szCs w:val="24"/>
        </w:rPr>
      </w:pPr>
      <w:r w:rsidRPr="00EB2269">
        <w:rPr>
          <w:rFonts w:ascii="Tahoma" w:hAnsi="Tahoma" w:cs="Tahoma"/>
          <w:sz w:val="24"/>
          <w:szCs w:val="24"/>
        </w:rPr>
        <w:t>la maltraitance par négligence dont les facteurs de risque sont l’ignorance, la déficience, les caractéristiques spécifiques de l’enfant, la précarité, l’isolement, les souffrances existentielles comme le divorce, les conduites à risque liées notamment à l’addiction à la drogue ou à l’internet ;</w:t>
      </w:r>
    </w:p>
    <w:p w:rsidR="00F87A24" w:rsidRPr="00EB2269" w:rsidRDefault="00F87A24" w:rsidP="00F87A24">
      <w:pPr>
        <w:pStyle w:val="Paragraphedeliste"/>
        <w:numPr>
          <w:ilvl w:val="0"/>
          <w:numId w:val="8"/>
        </w:numPr>
        <w:jc w:val="both"/>
        <w:rPr>
          <w:rFonts w:ascii="Tahoma" w:hAnsi="Tahoma" w:cs="Tahoma"/>
          <w:sz w:val="24"/>
          <w:szCs w:val="24"/>
        </w:rPr>
      </w:pPr>
      <w:r w:rsidRPr="00EB2269">
        <w:rPr>
          <w:rFonts w:ascii="Tahoma" w:hAnsi="Tahoma" w:cs="Tahoma"/>
          <w:sz w:val="24"/>
          <w:szCs w:val="24"/>
        </w:rPr>
        <w:t xml:space="preserve">la maltraitance sexuelle dont souffrent 20 % des femmes et 8% des hommes. Dans cette situation, 80 % des cas sont issus du cadre intrafamilial avec 30 % au niveau de la fratrie. </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 xml:space="preserve">Toujours dans leur communication, les experts ont relevé les facteurs qui influencent la révélation d’abus sexuels. Il s’agit des facteurs idiosyncrasiques, relatifs au tempérament personnel (internalisation du blâme, mécanismes d’auto-protection, l’immaturité du développement), aux facteurs relationnels (violence et dysfonctionnement dans la famille, conscience des répercussions, réseau social fragile), et aux </w:t>
      </w:r>
      <w:r w:rsidRPr="00EB2269">
        <w:rPr>
          <w:rFonts w:ascii="Tahoma" w:hAnsi="Tahoma" w:cs="Tahoma"/>
          <w:strike/>
          <w:sz w:val="24"/>
          <w:szCs w:val="24"/>
        </w:rPr>
        <w:t>des</w:t>
      </w:r>
      <w:r w:rsidRPr="00EB2269">
        <w:rPr>
          <w:rFonts w:ascii="Tahoma" w:hAnsi="Tahoma" w:cs="Tahoma"/>
          <w:sz w:val="24"/>
          <w:szCs w:val="24"/>
        </w:rPr>
        <w:t xml:space="preserve"> facteurs socio-culturels (stigma social, tabou de la sexualité, inexistence de services).</w:t>
      </w:r>
    </w:p>
    <w:p w:rsidR="00F87A24" w:rsidRPr="00EB2269" w:rsidRDefault="00F87A24" w:rsidP="00F87A24">
      <w:pPr>
        <w:jc w:val="both"/>
        <w:rPr>
          <w:rFonts w:ascii="Tahoma" w:hAnsi="Tahoma" w:cs="Tahoma"/>
          <w:sz w:val="24"/>
          <w:szCs w:val="24"/>
        </w:rPr>
      </w:pPr>
      <w:r w:rsidRPr="00EB2269">
        <w:rPr>
          <w:rFonts w:ascii="Tahoma" w:hAnsi="Tahoma" w:cs="Tahoma"/>
          <w:sz w:val="24"/>
          <w:szCs w:val="24"/>
        </w:rPr>
        <w:tab/>
        <w:t>A la suite de cette présentation, les débats ont porté notamment sur le phénomène des bébés secoués qui constitue un danger pour son développement et le tabou de la sexualité qui justifie souvent l’absence de révélation des abus sexuels en famille. Il a été rappelé également que le pardon de la victime n’exclue pas le rappel à la loi et la poursuite de la prise en charge.</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La deuxième journée de l’atelier a été consacrée à la présentation de la thématique portant sur « Mémoires, suggestions et auditions en contexte judiciaire ». A cet effet, les experts ont rappelé les différents types de mémoires qui peuvent être à court terme (enfant de 6 ans), épisodique, sémantique et procédurale. Ils ont souligné que la mémoire fonctionne selon trois processus cognitifs distincts à savoir l’encodage (</w:t>
      </w:r>
      <w:r w:rsidRPr="00EB2269">
        <w:rPr>
          <w:rFonts w:ascii="Tahoma" w:hAnsi="Tahoma" w:cs="Tahoma"/>
          <w:strike/>
          <w:sz w:val="24"/>
          <w:szCs w:val="24"/>
        </w:rPr>
        <w:t>la</w:t>
      </w:r>
      <w:r w:rsidRPr="00EB2269">
        <w:rPr>
          <w:rFonts w:ascii="Tahoma" w:hAnsi="Tahoma" w:cs="Tahoma"/>
          <w:sz w:val="24"/>
          <w:szCs w:val="24"/>
        </w:rPr>
        <w:t xml:space="preserve"> manière dont l’information est mise en mémoire), le stockage (</w:t>
      </w:r>
      <w:r w:rsidRPr="00EB2269">
        <w:rPr>
          <w:rFonts w:ascii="Tahoma" w:hAnsi="Tahoma" w:cs="Tahoma"/>
          <w:strike/>
          <w:sz w:val="24"/>
          <w:szCs w:val="24"/>
        </w:rPr>
        <w:t>la</w:t>
      </w:r>
      <w:r w:rsidRPr="00EB2269">
        <w:rPr>
          <w:rFonts w:ascii="Tahoma" w:hAnsi="Tahoma" w:cs="Tahoma"/>
          <w:sz w:val="24"/>
          <w:szCs w:val="24"/>
        </w:rPr>
        <w:t xml:space="preserve"> durée entre l’encodage et la récupération du souvenir) et la récupération (</w:t>
      </w:r>
      <w:r w:rsidRPr="00EB2269">
        <w:rPr>
          <w:rFonts w:ascii="Tahoma" w:hAnsi="Tahoma" w:cs="Tahoma"/>
          <w:strike/>
          <w:sz w:val="24"/>
          <w:szCs w:val="24"/>
        </w:rPr>
        <w:t>la</w:t>
      </w:r>
      <w:r w:rsidRPr="00EB2269">
        <w:rPr>
          <w:rFonts w:ascii="Tahoma" w:hAnsi="Tahoma" w:cs="Tahoma"/>
          <w:sz w:val="24"/>
          <w:szCs w:val="24"/>
        </w:rPr>
        <w:t xml:space="preserve"> remémorisation du souvenir par la reconstruction de celui-ci).</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lastRenderedPageBreak/>
        <w:t xml:space="preserve">Les experts ont ensuite souligné que la suggestibilité peut être vue comme la capacité à être influencé. Il s’agit du degré avec lequel l’encodage, le stockage, la récupération et la déclaration sur les évènements peuvent être influencés par un large éventail de facteurs internes et externes. Ses facteurs sont cognitifs et langagiers, liés à la créativité, à la confiance en soi, à l’attachement et la qualité de la relation parent-enfant, à l’âge, au niveau socio-économique, à la culture et à l’appartenance ethnique. </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 xml:space="preserve">Pour terminer, ils ont parlé des facteurs de suggestibilité dans un contexte d’audition de l’enfant qui sont liés à la répétition des questions et de l’entretien, aux premières impressions de l’interviewer, au renforcement des allégations, à l’attitude non soutenante de l’interviewer, à la conformité, à l’influence et aux changements dans le récit ou l’inclusion de nouvelles informations. </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Avant l’ouverture des débats, Monsieur Mademba GUEYE, Directeur général du CFJ, a pris la parole pour s’excuser de son absence lors de l’ouverture du séminaire puisqu’étant invité par le Ministre de la Justice à une activité de la Direction Générale de l’Administration Pénitentiaire présidée par le Premier Ministre. Il s’est félicité de l’organisation de ce séminaire malgré l’agenda chargé de l’établissement qui, pour cette même période, avait déjà programmé les examens de sortie des auditeurs de justice et élèves greffiers de la promotion 2021-2023. Il a souhaité la pérennisation des activités de formation dans le cadre de la coopération pour permettre à l’établissement d’assurer sa mission de renforcement de capacités des acteurs judiciaires et acteurs communautaires en matière de protection des mineurs de manière générale.</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Les participants sont ensuite intervenus pour aborder des questions portant essentiellement sur l’attitude et la méthode de l’interviewer qui doit mettre à l’aise l’enfant au moment de l’entretien. Il a été évoqué aussi l’importance du regard critique sur soi-même lors de l’interrogation de l’enfant dans le cadre judiciaire et la nécessité de la communication entre la justice et l’activité psycho-social pour une synergie des actions dans la prise en charge des enfants notamment victimes de maltraitance.</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Lors de la troisième et dernière journée de l’atelier, les experts ont fait une présentation portant sur « Les outils » utilisés lors de l’entretien de l’enfant victime de maltraitance et qui correspondent à :</w:t>
      </w:r>
    </w:p>
    <w:p w:rsidR="00F87A24" w:rsidRPr="00EB2269" w:rsidRDefault="00F87A24" w:rsidP="00F87A24">
      <w:pPr>
        <w:pStyle w:val="Paragraphedeliste"/>
        <w:numPr>
          <w:ilvl w:val="0"/>
          <w:numId w:val="8"/>
        </w:numPr>
        <w:jc w:val="both"/>
        <w:rPr>
          <w:rFonts w:ascii="Tahoma" w:hAnsi="Tahoma" w:cs="Tahoma"/>
          <w:sz w:val="24"/>
          <w:szCs w:val="24"/>
        </w:rPr>
      </w:pPr>
      <w:r w:rsidRPr="00EB2269">
        <w:rPr>
          <w:rFonts w:ascii="Tahoma" w:hAnsi="Tahoma" w:cs="Tahoma"/>
          <w:sz w:val="24"/>
          <w:szCs w:val="24"/>
        </w:rPr>
        <w:t>des entrevues non-suggestives relatives à un recueil de témoignage et dont l’objectif général est de maximiser le rappel libre tout en minimisant l’influence à laquelle est soumise la personne interrogée ;</w:t>
      </w:r>
    </w:p>
    <w:p w:rsidR="00F87A24" w:rsidRPr="00EB2269" w:rsidRDefault="00F87A24" w:rsidP="00F87A24">
      <w:pPr>
        <w:pStyle w:val="Paragraphedeliste"/>
        <w:numPr>
          <w:ilvl w:val="0"/>
          <w:numId w:val="8"/>
        </w:numPr>
        <w:jc w:val="both"/>
        <w:rPr>
          <w:rFonts w:ascii="Tahoma" w:hAnsi="Tahoma" w:cs="Tahoma"/>
          <w:sz w:val="24"/>
          <w:szCs w:val="24"/>
        </w:rPr>
      </w:pPr>
      <w:r w:rsidRPr="00EB2269">
        <w:rPr>
          <w:rFonts w:ascii="Tahoma" w:hAnsi="Tahoma" w:cs="Tahoma"/>
          <w:sz w:val="24"/>
          <w:szCs w:val="24"/>
        </w:rPr>
        <w:t>la méthode Alföldi permettant de recueillir et d’organiser l’information pour la transmettre. C’est une méthode rigoureuse de traitement de l’information concernant la situation d’un enfant depuis les faits jusqu’aux conclusions destinées aux décideurs notamment la justice. Elle comporte différents outils regroupés en trois catégories que sont le recueil d’information, l’analyse diagnostique et la rédaction du rapport ;</w:t>
      </w:r>
    </w:p>
    <w:p w:rsidR="00F87A24" w:rsidRPr="00EB2269" w:rsidRDefault="00F87A24" w:rsidP="00F87A24">
      <w:pPr>
        <w:pStyle w:val="Paragraphedeliste"/>
        <w:numPr>
          <w:ilvl w:val="0"/>
          <w:numId w:val="8"/>
        </w:numPr>
        <w:jc w:val="both"/>
        <w:rPr>
          <w:rFonts w:ascii="Tahoma" w:hAnsi="Tahoma" w:cs="Tahoma"/>
          <w:sz w:val="24"/>
          <w:szCs w:val="24"/>
        </w:rPr>
      </w:pPr>
      <w:r w:rsidRPr="00EB2269">
        <w:rPr>
          <w:rFonts w:ascii="Tahoma" w:hAnsi="Tahoma" w:cs="Tahoma"/>
          <w:sz w:val="24"/>
          <w:szCs w:val="24"/>
        </w:rPr>
        <w:t>les méthodes adaptées aux bébés. Elles portent sur les compétences précoces du bébé et sur le retrait relationnel du jeune qui peut être bref ou durable et le tempérament ;</w:t>
      </w:r>
    </w:p>
    <w:p w:rsidR="00F87A24" w:rsidRPr="00EB2269" w:rsidRDefault="00F87A24" w:rsidP="00F87A24">
      <w:pPr>
        <w:pStyle w:val="Paragraphedeliste"/>
        <w:numPr>
          <w:ilvl w:val="0"/>
          <w:numId w:val="8"/>
        </w:numPr>
        <w:jc w:val="both"/>
        <w:rPr>
          <w:rFonts w:ascii="Tahoma" w:hAnsi="Tahoma" w:cs="Tahoma"/>
          <w:sz w:val="24"/>
          <w:szCs w:val="24"/>
        </w:rPr>
      </w:pPr>
      <w:r w:rsidRPr="00EB2269">
        <w:rPr>
          <w:rFonts w:ascii="Tahoma" w:hAnsi="Tahoma" w:cs="Tahoma"/>
          <w:sz w:val="24"/>
          <w:szCs w:val="24"/>
        </w:rPr>
        <w:lastRenderedPageBreak/>
        <w:t xml:space="preserve">les méthodes d’évaluation des interactions familiales permettant de s’intéresser à la famille naissante, aux jeunes parents et leurs enfants. </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Cette présentation est suivie de débats au cours desquels, les participants ont relevé les similitudes quant à la trame et le contenu des rapports établis lors de l’utilisation de ces différents outils pendant l’audition des enfants victimes. Ils ont également soulevé l’importance de l’avis des parents dans la rédaction des rapports et l’objectivité des éléments pour aider à la prise de décision.</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L’atelier a aussi bénéficié de l’intervention de deux infirmières belges Victoria Van MELKEBEKE et Clémence OSTJN qui ont partagé leurs expériences en néonatalogie et les situations auxquelles elles ont été confrontées lors de leur stage à l’Hôpital d’enfants Albert Royer situé au niveau du Centre Hospitalier Universitaire de Fann. A cet effet, elles ont évoqué le cas d’un enfant admis à Albert Royer 18 heures après sa naissance par césarienne sans crier et avec une situation clinique instable. Regrettant un peu l’absence d’informations fournies aux parents absents durant la prise en charge de leur enfant, elles ont souligné l’importance de leur place au niveau du service de néonatalogie comme en Belgique.</w:t>
      </w:r>
    </w:p>
    <w:p w:rsidR="00F87A24" w:rsidRPr="00EB2269" w:rsidRDefault="00F87A24" w:rsidP="00F87A24">
      <w:pPr>
        <w:ind w:firstLine="708"/>
        <w:jc w:val="both"/>
        <w:rPr>
          <w:rFonts w:ascii="Tahoma" w:hAnsi="Tahoma" w:cs="Tahoma"/>
          <w:sz w:val="24"/>
          <w:szCs w:val="24"/>
        </w:rPr>
      </w:pPr>
      <w:r w:rsidRPr="00EB2269">
        <w:rPr>
          <w:rFonts w:ascii="Tahoma" w:hAnsi="Tahoma" w:cs="Tahoma"/>
          <w:sz w:val="24"/>
          <w:szCs w:val="24"/>
        </w:rPr>
        <w:t>A la suite de cette présentation, les participants ont tour à tour pris la parole pour évaluer les travaux du séminaire jugés satisfaisants, très instructifs et qui méritent d’être reproduits. Ils ont également remercié le CFJ pour la bonne tenue du séminaire et les experts belges pour la qualité de leurs interventions.</w:t>
      </w:r>
    </w:p>
    <w:p w:rsidR="00F87A24" w:rsidRDefault="00F87A24" w:rsidP="00F87A24">
      <w:pPr>
        <w:ind w:firstLine="708"/>
        <w:jc w:val="both"/>
        <w:rPr>
          <w:rFonts w:ascii="Tahoma" w:hAnsi="Tahoma" w:cs="Tahoma"/>
          <w:sz w:val="24"/>
          <w:szCs w:val="24"/>
        </w:rPr>
      </w:pPr>
      <w:r w:rsidRPr="00EB2269">
        <w:rPr>
          <w:rFonts w:ascii="Tahoma" w:hAnsi="Tahoma" w:cs="Tahoma"/>
          <w:sz w:val="24"/>
          <w:szCs w:val="24"/>
        </w:rPr>
        <w:t xml:space="preserve">Le Secrétaire général du CFJ a clôturé les travaux du séminaire par des mots de remerciement à l’endroit des participants pour leur présence et la Wallonie-Bruxelles International pour l’appui financier et technique dans l’organisation de cette importante activité de formation après celle tenue à Saint-Louis en 2022 toujours en parfaite collaboration avec l’ASBL « la Pommeraie » et des experts belges/. </w:t>
      </w:r>
    </w:p>
    <w:p w:rsidR="00F87A24" w:rsidRPr="00EB2269" w:rsidRDefault="00F87A24" w:rsidP="00F87A24">
      <w:pPr>
        <w:ind w:firstLine="708"/>
        <w:jc w:val="both"/>
        <w:rPr>
          <w:rFonts w:ascii="Tahoma" w:hAnsi="Tahoma" w:cs="Tahoma"/>
          <w:sz w:val="24"/>
          <w:szCs w:val="24"/>
        </w:rPr>
      </w:pPr>
    </w:p>
    <w:p w:rsidR="00F87A24" w:rsidRPr="00B26D6B" w:rsidRDefault="00F87A24" w:rsidP="00F87A24">
      <w:pPr>
        <w:pStyle w:val="Sansinterligne"/>
        <w:jc w:val="center"/>
        <w:rPr>
          <w:rFonts w:ascii="Tahoma" w:hAnsi="Tahoma" w:cs="Tahoma"/>
          <w:b/>
          <w:bCs/>
          <w:sz w:val="24"/>
          <w:szCs w:val="24"/>
        </w:rPr>
      </w:pPr>
      <w:r w:rsidRPr="00B26D6B">
        <w:rPr>
          <w:rFonts w:ascii="Tahoma" w:hAnsi="Tahoma" w:cs="Tahoma"/>
          <w:b/>
          <w:bCs/>
          <w:sz w:val="24"/>
          <w:szCs w:val="24"/>
        </w:rPr>
        <w:t>Le Centre de Formation judiciaire (CFJ)</w:t>
      </w:r>
    </w:p>
    <w:p w:rsidR="00F87A24" w:rsidRPr="00B26D6B" w:rsidRDefault="00F87A24" w:rsidP="00F87A24">
      <w:pPr>
        <w:pStyle w:val="Sansinterligne"/>
        <w:jc w:val="center"/>
        <w:rPr>
          <w:rFonts w:ascii="Tahoma" w:hAnsi="Tahoma" w:cs="Tahoma"/>
          <w:b/>
          <w:bCs/>
          <w:sz w:val="24"/>
          <w:szCs w:val="24"/>
        </w:rPr>
      </w:pPr>
      <w:r w:rsidRPr="00B26D6B">
        <w:rPr>
          <w:rFonts w:ascii="Tahoma" w:hAnsi="Tahoma" w:cs="Tahoma"/>
          <w:b/>
          <w:bCs/>
          <w:sz w:val="24"/>
          <w:szCs w:val="24"/>
        </w:rPr>
        <w:t>Direction de la Formation continue e</w:t>
      </w:r>
      <w:r>
        <w:rPr>
          <w:rFonts w:ascii="Tahoma" w:hAnsi="Tahoma" w:cs="Tahoma"/>
          <w:b/>
          <w:bCs/>
          <w:sz w:val="24"/>
          <w:szCs w:val="24"/>
        </w:rPr>
        <w:t>t</w:t>
      </w:r>
    </w:p>
    <w:p w:rsidR="00F87A24" w:rsidRPr="00B26D6B" w:rsidRDefault="00F87A24" w:rsidP="00F87A24">
      <w:pPr>
        <w:pStyle w:val="Sansinterligne"/>
        <w:jc w:val="center"/>
        <w:rPr>
          <w:rFonts w:ascii="Tahoma" w:hAnsi="Tahoma" w:cs="Tahoma"/>
          <w:b/>
          <w:bCs/>
          <w:sz w:val="24"/>
          <w:szCs w:val="24"/>
        </w:rPr>
      </w:pPr>
      <w:r>
        <w:rPr>
          <w:rFonts w:ascii="Tahoma" w:hAnsi="Tahoma" w:cs="Tahoma"/>
          <w:b/>
          <w:bCs/>
          <w:sz w:val="24"/>
          <w:szCs w:val="24"/>
        </w:rPr>
        <w:t xml:space="preserve"> de </w:t>
      </w:r>
      <w:r w:rsidRPr="00B26D6B">
        <w:rPr>
          <w:rFonts w:ascii="Tahoma" w:hAnsi="Tahoma" w:cs="Tahoma"/>
          <w:b/>
          <w:bCs/>
          <w:sz w:val="24"/>
          <w:szCs w:val="24"/>
        </w:rPr>
        <w:t>La Coopération</w:t>
      </w:r>
    </w:p>
    <w:p w:rsidR="00F87A24" w:rsidRPr="00F55B1C" w:rsidRDefault="00F87A24" w:rsidP="00F87A24">
      <w:pPr>
        <w:jc w:val="both"/>
        <w:rPr>
          <w:rFonts w:ascii="Tahoma" w:hAnsi="Tahoma" w:cs="Tahoma"/>
          <w:sz w:val="24"/>
          <w:szCs w:val="24"/>
        </w:rPr>
      </w:pPr>
    </w:p>
    <w:p w:rsidR="00F87A24" w:rsidRPr="00F55B1C" w:rsidRDefault="00F87A24" w:rsidP="00F87A24">
      <w:pPr>
        <w:jc w:val="both"/>
        <w:rPr>
          <w:rFonts w:ascii="Tahoma" w:hAnsi="Tahoma" w:cs="Tahoma"/>
          <w:sz w:val="24"/>
          <w:szCs w:val="24"/>
        </w:rPr>
      </w:pPr>
    </w:p>
    <w:p w:rsidR="00F87A24" w:rsidRPr="00F55B1C" w:rsidRDefault="00F87A24" w:rsidP="00F87A24">
      <w:pPr>
        <w:jc w:val="both"/>
        <w:rPr>
          <w:rFonts w:ascii="Tahoma" w:hAnsi="Tahoma" w:cs="Tahoma"/>
          <w:sz w:val="24"/>
          <w:szCs w:val="24"/>
        </w:rPr>
      </w:pPr>
    </w:p>
    <w:p w:rsidR="00F87A24" w:rsidRPr="00F55B1C" w:rsidRDefault="00F87A24" w:rsidP="00F87A24">
      <w:pPr>
        <w:jc w:val="both"/>
        <w:rPr>
          <w:rFonts w:ascii="Tahoma" w:hAnsi="Tahoma" w:cs="Tahoma"/>
          <w:sz w:val="24"/>
          <w:szCs w:val="24"/>
        </w:rPr>
      </w:pPr>
    </w:p>
    <w:p w:rsidR="00F87A24" w:rsidRPr="00F55B1C" w:rsidRDefault="00F87A24" w:rsidP="00F87A24">
      <w:pPr>
        <w:jc w:val="both"/>
        <w:rPr>
          <w:rFonts w:ascii="Tahoma" w:hAnsi="Tahoma" w:cs="Tahoma"/>
          <w:sz w:val="24"/>
          <w:szCs w:val="24"/>
        </w:rPr>
      </w:pPr>
    </w:p>
    <w:p w:rsidR="00F3361A" w:rsidRPr="00F55B1C" w:rsidRDefault="00F3361A" w:rsidP="00F55B1C">
      <w:pPr>
        <w:jc w:val="both"/>
        <w:rPr>
          <w:rFonts w:ascii="Tahoma" w:hAnsi="Tahoma" w:cs="Tahoma"/>
          <w:sz w:val="24"/>
          <w:szCs w:val="24"/>
        </w:rPr>
      </w:pPr>
    </w:p>
    <w:sectPr w:rsidR="00F3361A" w:rsidRPr="00F55B1C" w:rsidSect="00B9100A">
      <w:footerReference w:type="default" r:id="rId11"/>
      <w:pgSz w:w="11906" w:h="16838"/>
      <w:pgMar w:top="1135" w:right="849"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763" w:rsidRDefault="004D3763">
      <w:pPr>
        <w:spacing w:after="0" w:line="240" w:lineRule="auto"/>
      </w:pPr>
      <w:r>
        <w:separator/>
      </w:r>
    </w:p>
  </w:endnote>
  <w:endnote w:type="continuationSeparator" w:id="0">
    <w:p w:rsidR="004D3763" w:rsidRDefault="004D3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872306"/>
      <w:docPartObj>
        <w:docPartGallery w:val="Page Numbers (Bottom of Page)"/>
        <w:docPartUnique/>
      </w:docPartObj>
    </w:sdtPr>
    <w:sdtEndPr/>
    <w:sdtContent>
      <w:p w:rsidR="009D579E" w:rsidRDefault="00C4199C">
        <w:pPr>
          <w:pStyle w:val="Pieddepage"/>
        </w:pPr>
        <w:r>
          <w:rPr>
            <w:noProof/>
            <w:lang w:val="fr-FR" w:eastAsia="fr-FR"/>
          </w:rPr>
          <mc:AlternateContent>
            <mc:Choice Requires="wps">
              <w:drawing>
                <wp:anchor distT="0" distB="0" distL="114300" distR="114300" simplePos="0" relativeHeight="251659264" behindDoc="0" locked="0" layoutInCell="0" allowOverlap="1" wp14:anchorId="7BDF4A1A" wp14:editId="402AC7A6">
                  <wp:simplePos x="0" y="0"/>
                  <wp:positionH relativeFrom="rightMargin">
                    <wp:align>left</wp:align>
                  </wp:positionH>
                  <mc:AlternateContent>
                    <mc:Choice Requires="wp14">
                      <wp:positionV relativeFrom="bottomMargin">
                        <wp14:pctPosVOffset>7000</wp14:pctPosVOffset>
                      </wp:positionV>
                    </mc:Choice>
                    <mc:Fallback>
                      <wp:positionV relativeFrom="page">
                        <wp:posOffset>9841230</wp:posOffset>
                      </wp:positionV>
                    </mc:Fallback>
                  </mc:AlternateContent>
                  <wp:extent cx="368300" cy="274320"/>
                  <wp:effectExtent l="9525" t="9525" r="12700" b="11430"/>
                  <wp:wrapNone/>
                  <wp:docPr id="15" name="Rectangle : carré corné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9D579E" w:rsidRDefault="00C4199C">
                              <w:pPr>
                                <w:jc w:val="center"/>
                              </w:pPr>
                              <w:r>
                                <w:fldChar w:fldCharType="begin"/>
                              </w:r>
                              <w:r>
                                <w:instrText>PAGE    \* MERGEFORMAT</w:instrText>
                              </w:r>
                              <w:r>
                                <w:fldChar w:fldCharType="separate"/>
                              </w:r>
                              <w:r w:rsidR="001A57C3" w:rsidRPr="001A57C3">
                                <w:rPr>
                                  <w:noProof/>
                                  <w:sz w:val="16"/>
                                  <w:szCs w:val="16"/>
                                  <w:lang w:val="fr-FR"/>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DF4A1A"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15"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" o:allowincell="f" adj="14135" strokecolor="gray" strokeweight=".25pt">
                  <v:textbox>
                    <w:txbxContent>
                      <w:p w:rsidR="009D579E" w:rsidRDefault="00C4199C">
                        <w:pPr>
                          <w:jc w:val="center"/>
                        </w:pPr>
                        <w:r>
                          <w:fldChar w:fldCharType="begin"/>
                        </w:r>
                        <w:r>
                          <w:instrText>PAGE    \* MERGEFORMAT</w:instrText>
                        </w:r>
                        <w:r>
                          <w:fldChar w:fldCharType="separate"/>
                        </w:r>
                        <w:r w:rsidR="001A57C3" w:rsidRPr="001A57C3">
                          <w:rPr>
                            <w:noProof/>
                            <w:sz w:val="16"/>
                            <w:szCs w:val="16"/>
                            <w:lang w:val="fr-FR"/>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763" w:rsidRDefault="004D3763">
      <w:pPr>
        <w:spacing w:after="0" w:line="240" w:lineRule="auto"/>
      </w:pPr>
      <w:r>
        <w:separator/>
      </w:r>
    </w:p>
  </w:footnote>
  <w:footnote w:type="continuationSeparator" w:id="0">
    <w:p w:rsidR="004D3763" w:rsidRDefault="004D37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D2A03"/>
    <w:multiLevelType w:val="hybridMultilevel"/>
    <w:tmpl w:val="D89C5D1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53E6310"/>
    <w:multiLevelType w:val="hybridMultilevel"/>
    <w:tmpl w:val="EF38DBF2"/>
    <w:lvl w:ilvl="0" w:tplc="CC9E5DEE">
      <w:start w:val="11"/>
      <w:numFmt w:val="bullet"/>
      <w:lvlText w:val="-"/>
      <w:lvlJc w:val="left"/>
      <w:pPr>
        <w:ind w:left="1068" w:hanging="360"/>
      </w:pPr>
      <w:rPr>
        <w:rFonts w:ascii="Tahoma" w:eastAsiaTheme="minorHAnsi" w:hAnsi="Tahoma" w:cs="Tahoma" w:hint="default"/>
      </w:rPr>
    </w:lvl>
    <w:lvl w:ilvl="1" w:tplc="280C0003" w:tentative="1">
      <w:start w:val="1"/>
      <w:numFmt w:val="bullet"/>
      <w:lvlText w:val="o"/>
      <w:lvlJc w:val="left"/>
      <w:pPr>
        <w:ind w:left="1788" w:hanging="360"/>
      </w:pPr>
      <w:rPr>
        <w:rFonts w:ascii="Courier New" w:hAnsi="Courier New" w:cs="Courier New" w:hint="default"/>
      </w:rPr>
    </w:lvl>
    <w:lvl w:ilvl="2" w:tplc="280C0005" w:tentative="1">
      <w:start w:val="1"/>
      <w:numFmt w:val="bullet"/>
      <w:lvlText w:val=""/>
      <w:lvlJc w:val="left"/>
      <w:pPr>
        <w:ind w:left="2508" w:hanging="360"/>
      </w:pPr>
      <w:rPr>
        <w:rFonts w:ascii="Wingdings" w:hAnsi="Wingdings" w:hint="default"/>
      </w:rPr>
    </w:lvl>
    <w:lvl w:ilvl="3" w:tplc="280C0001" w:tentative="1">
      <w:start w:val="1"/>
      <w:numFmt w:val="bullet"/>
      <w:lvlText w:val=""/>
      <w:lvlJc w:val="left"/>
      <w:pPr>
        <w:ind w:left="3228" w:hanging="360"/>
      </w:pPr>
      <w:rPr>
        <w:rFonts w:ascii="Symbol" w:hAnsi="Symbol" w:hint="default"/>
      </w:rPr>
    </w:lvl>
    <w:lvl w:ilvl="4" w:tplc="280C0003" w:tentative="1">
      <w:start w:val="1"/>
      <w:numFmt w:val="bullet"/>
      <w:lvlText w:val="o"/>
      <w:lvlJc w:val="left"/>
      <w:pPr>
        <w:ind w:left="3948" w:hanging="360"/>
      </w:pPr>
      <w:rPr>
        <w:rFonts w:ascii="Courier New" w:hAnsi="Courier New" w:cs="Courier New" w:hint="default"/>
      </w:rPr>
    </w:lvl>
    <w:lvl w:ilvl="5" w:tplc="280C0005" w:tentative="1">
      <w:start w:val="1"/>
      <w:numFmt w:val="bullet"/>
      <w:lvlText w:val=""/>
      <w:lvlJc w:val="left"/>
      <w:pPr>
        <w:ind w:left="4668" w:hanging="360"/>
      </w:pPr>
      <w:rPr>
        <w:rFonts w:ascii="Wingdings" w:hAnsi="Wingdings" w:hint="default"/>
      </w:rPr>
    </w:lvl>
    <w:lvl w:ilvl="6" w:tplc="280C0001" w:tentative="1">
      <w:start w:val="1"/>
      <w:numFmt w:val="bullet"/>
      <w:lvlText w:val=""/>
      <w:lvlJc w:val="left"/>
      <w:pPr>
        <w:ind w:left="5388" w:hanging="360"/>
      </w:pPr>
      <w:rPr>
        <w:rFonts w:ascii="Symbol" w:hAnsi="Symbol" w:hint="default"/>
      </w:rPr>
    </w:lvl>
    <w:lvl w:ilvl="7" w:tplc="280C0003" w:tentative="1">
      <w:start w:val="1"/>
      <w:numFmt w:val="bullet"/>
      <w:lvlText w:val="o"/>
      <w:lvlJc w:val="left"/>
      <w:pPr>
        <w:ind w:left="6108" w:hanging="360"/>
      </w:pPr>
      <w:rPr>
        <w:rFonts w:ascii="Courier New" w:hAnsi="Courier New" w:cs="Courier New" w:hint="default"/>
      </w:rPr>
    </w:lvl>
    <w:lvl w:ilvl="8" w:tplc="280C0005" w:tentative="1">
      <w:start w:val="1"/>
      <w:numFmt w:val="bullet"/>
      <w:lvlText w:val=""/>
      <w:lvlJc w:val="left"/>
      <w:pPr>
        <w:ind w:left="6828" w:hanging="360"/>
      </w:pPr>
      <w:rPr>
        <w:rFonts w:ascii="Wingdings" w:hAnsi="Wingdings" w:hint="default"/>
      </w:rPr>
    </w:lvl>
  </w:abstractNum>
  <w:abstractNum w:abstractNumId="2" w15:restartNumberingAfterBreak="0">
    <w:nsid w:val="334F23CD"/>
    <w:multiLevelType w:val="hybridMultilevel"/>
    <w:tmpl w:val="9B9880C8"/>
    <w:lvl w:ilvl="0" w:tplc="1E8432FE">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AD0005F"/>
    <w:multiLevelType w:val="hybridMultilevel"/>
    <w:tmpl w:val="DB247278"/>
    <w:lvl w:ilvl="0" w:tplc="280C000D">
      <w:start w:val="1"/>
      <w:numFmt w:val="bullet"/>
      <w:lvlText w:val=""/>
      <w:lvlJc w:val="left"/>
      <w:pPr>
        <w:ind w:left="1004" w:hanging="360"/>
      </w:pPr>
      <w:rPr>
        <w:rFonts w:ascii="Wingdings" w:hAnsi="Wingdings" w:hint="default"/>
      </w:rPr>
    </w:lvl>
    <w:lvl w:ilvl="1" w:tplc="280C0003" w:tentative="1">
      <w:start w:val="1"/>
      <w:numFmt w:val="bullet"/>
      <w:lvlText w:val="o"/>
      <w:lvlJc w:val="left"/>
      <w:pPr>
        <w:ind w:left="1724" w:hanging="360"/>
      </w:pPr>
      <w:rPr>
        <w:rFonts w:ascii="Courier New" w:hAnsi="Courier New" w:cs="Courier New" w:hint="default"/>
      </w:rPr>
    </w:lvl>
    <w:lvl w:ilvl="2" w:tplc="280C0005" w:tentative="1">
      <w:start w:val="1"/>
      <w:numFmt w:val="bullet"/>
      <w:lvlText w:val=""/>
      <w:lvlJc w:val="left"/>
      <w:pPr>
        <w:ind w:left="2444" w:hanging="360"/>
      </w:pPr>
      <w:rPr>
        <w:rFonts w:ascii="Wingdings" w:hAnsi="Wingdings" w:hint="default"/>
      </w:rPr>
    </w:lvl>
    <w:lvl w:ilvl="3" w:tplc="280C0001" w:tentative="1">
      <w:start w:val="1"/>
      <w:numFmt w:val="bullet"/>
      <w:lvlText w:val=""/>
      <w:lvlJc w:val="left"/>
      <w:pPr>
        <w:ind w:left="3164" w:hanging="360"/>
      </w:pPr>
      <w:rPr>
        <w:rFonts w:ascii="Symbol" w:hAnsi="Symbol" w:hint="default"/>
      </w:rPr>
    </w:lvl>
    <w:lvl w:ilvl="4" w:tplc="280C0003" w:tentative="1">
      <w:start w:val="1"/>
      <w:numFmt w:val="bullet"/>
      <w:lvlText w:val="o"/>
      <w:lvlJc w:val="left"/>
      <w:pPr>
        <w:ind w:left="3884" w:hanging="360"/>
      </w:pPr>
      <w:rPr>
        <w:rFonts w:ascii="Courier New" w:hAnsi="Courier New" w:cs="Courier New" w:hint="default"/>
      </w:rPr>
    </w:lvl>
    <w:lvl w:ilvl="5" w:tplc="280C0005" w:tentative="1">
      <w:start w:val="1"/>
      <w:numFmt w:val="bullet"/>
      <w:lvlText w:val=""/>
      <w:lvlJc w:val="left"/>
      <w:pPr>
        <w:ind w:left="4604" w:hanging="360"/>
      </w:pPr>
      <w:rPr>
        <w:rFonts w:ascii="Wingdings" w:hAnsi="Wingdings" w:hint="default"/>
      </w:rPr>
    </w:lvl>
    <w:lvl w:ilvl="6" w:tplc="280C0001" w:tentative="1">
      <w:start w:val="1"/>
      <w:numFmt w:val="bullet"/>
      <w:lvlText w:val=""/>
      <w:lvlJc w:val="left"/>
      <w:pPr>
        <w:ind w:left="5324" w:hanging="360"/>
      </w:pPr>
      <w:rPr>
        <w:rFonts w:ascii="Symbol" w:hAnsi="Symbol" w:hint="default"/>
      </w:rPr>
    </w:lvl>
    <w:lvl w:ilvl="7" w:tplc="280C0003" w:tentative="1">
      <w:start w:val="1"/>
      <w:numFmt w:val="bullet"/>
      <w:lvlText w:val="o"/>
      <w:lvlJc w:val="left"/>
      <w:pPr>
        <w:ind w:left="6044" w:hanging="360"/>
      </w:pPr>
      <w:rPr>
        <w:rFonts w:ascii="Courier New" w:hAnsi="Courier New" w:cs="Courier New" w:hint="default"/>
      </w:rPr>
    </w:lvl>
    <w:lvl w:ilvl="8" w:tplc="280C0005" w:tentative="1">
      <w:start w:val="1"/>
      <w:numFmt w:val="bullet"/>
      <w:lvlText w:val=""/>
      <w:lvlJc w:val="left"/>
      <w:pPr>
        <w:ind w:left="6764" w:hanging="360"/>
      </w:pPr>
      <w:rPr>
        <w:rFonts w:ascii="Wingdings" w:hAnsi="Wingdings" w:hint="default"/>
      </w:rPr>
    </w:lvl>
  </w:abstractNum>
  <w:abstractNum w:abstractNumId="4" w15:restartNumberingAfterBreak="0">
    <w:nsid w:val="3EF20D20"/>
    <w:multiLevelType w:val="hybridMultilevel"/>
    <w:tmpl w:val="B7D2A642"/>
    <w:lvl w:ilvl="0" w:tplc="6282940A">
      <w:numFmt w:val="bullet"/>
      <w:lvlText w:val="-"/>
      <w:lvlJc w:val="left"/>
      <w:pPr>
        <w:ind w:left="1068" w:hanging="360"/>
      </w:pPr>
      <w:rPr>
        <w:rFonts w:ascii="Times New Roman" w:eastAsiaTheme="minorHAnsi"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54812EC7"/>
    <w:multiLevelType w:val="hybridMultilevel"/>
    <w:tmpl w:val="3E4AEE22"/>
    <w:lvl w:ilvl="0" w:tplc="1F8A4CDE">
      <w:start w:val="7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90C40B5"/>
    <w:multiLevelType w:val="hybridMultilevel"/>
    <w:tmpl w:val="29D897F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F401630"/>
    <w:multiLevelType w:val="hybridMultilevel"/>
    <w:tmpl w:val="8FD43BBC"/>
    <w:lvl w:ilvl="0" w:tplc="8E32814A">
      <w:start w:val="1"/>
      <w:numFmt w:val="decimal"/>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5"/>
  </w:num>
  <w:num w:numId="5">
    <w:abstractNumId w:val="2"/>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61A"/>
    <w:rsid w:val="00047BFA"/>
    <w:rsid w:val="000B3183"/>
    <w:rsid w:val="00123E2F"/>
    <w:rsid w:val="001638C8"/>
    <w:rsid w:val="001A57C3"/>
    <w:rsid w:val="00296EC0"/>
    <w:rsid w:val="002A7A99"/>
    <w:rsid w:val="002D2829"/>
    <w:rsid w:val="0036047E"/>
    <w:rsid w:val="003C3569"/>
    <w:rsid w:val="003E1386"/>
    <w:rsid w:val="00402F97"/>
    <w:rsid w:val="00490236"/>
    <w:rsid w:val="004D3763"/>
    <w:rsid w:val="00652374"/>
    <w:rsid w:val="007E18B5"/>
    <w:rsid w:val="00850A7B"/>
    <w:rsid w:val="008A014F"/>
    <w:rsid w:val="008A0CF4"/>
    <w:rsid w:val="008A52CE"/>
    <w:rsid w:val="008C0421"/>
    <w:rsid w:val="008E548B"/>
    <w:rsid w:val="009748C4"/>
    <w:rsid w:val="009A601E"/>
    <w:rsid w:val="00A8516A"/>
    <w:rsid w:val="00B26D6B"/>
    <w:rsid w:val="00B82E87"/>
    <w:rsid w:val="00C07AC6"/>
    <w:rsid w:val="00C4199C"/>
    <w:rsid w:val="00C50AD0"/>
    <w:rsid w:val="00C51B6C"/>
    <w:rsid w:val="00D06002"/>
    <w:rsid w:val="00D81744"/>
    <w:rsid w:val="00DA5BB5"/>
    <w:rsid w:val="00E476D4"/>
    <w:rsid w:val="00EB2269"/>
    <w:rsid w:val="00ED4D72"/>
    <w:rsid w:val="00F3361A"/>
    <w:rsid w:val="00F55B1C"/>
    <w:rsid w:val="00F87A24"/>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1AC84E-FA9C-4DCA-B0F1-5A4D8D56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S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61A"/>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F3361A"/>
    <w:pPr>
      <w:spacing w:after="0" w:line="240" w:lineRule="auto"/>
    </w:pPr>
  </w:style>
  <w:style w:type="paragraph" w:styleId="Pieddepage">
    <w:name w:val="footer"/>
    <w:basedOn w:val="Normal"/>
    <w:link w:val="PieddepageCar"/>
    <w:uiPriority w:val="99"/>
    <w:unhideWhenUsed/>
    <w:rsid w:val="00F3361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3361A"/>
    <w:rPr>
      <w:kern w:val="0"/>
      <w14:ligatures w14:val="none"/>
    </w:rPr>
  </w:style>
  <w:style w:type="paragraph" w:styleId="Paragraphedeliste">
    <w:name w:val="List Paragraph"/>
    <w:basedOn w:val="Normal"/>
    <w:uiPriority w:val="34"/>
    <w:qFormat/>
    <w:rsid w:val="00F3361A"/>
    <w:pPr>
      <w:ind w:left="720"/>
      <w:contextualSpacing/>
    </w:pPr>
  </w:style>
  <w:style w:type="paragraph" w:styleId="En-tte">
    <w:name w:val="header"/>
    <w:basedOn w:val="Normal"/>
    <w:link w:val="En-tteCar"/>
    <w:uiPriority w:val="99"/>
    <w:unhideWhenUsed/>
    <w:rsid w:val="007E18B5"/>
    <w:pPr>
      <w:tabs>
        <w:tab w:val="center" w:pos="4536"/>
        <w:tab w:val="right" w:pos="9072"/>
      </w:tabs>
      <w:spacing w:after="0" w:line="240" w:lineRule="auto"/>
    </w:pPr>
  </w:style>
  <w:style w:type="character" w:customStyle="1" w:styleId="En-tteCar">
    <w:name w:val="En-tête Car"/>
    <w:basedOn w:val="Policepardfaut"/>
    <w:link w:val="En-tte"/>
    <w:uiPriority w:val="99"/>
    <w:rsid w:val="007E18B5"/>
    <w:rPr>
      <w:kern w:val="0"/>
      <w14:ligatures w14:val="none"/>
    </w:rPr>
  </w:style>
  <w:style w:type="paragraph" w:styleId="Rvision">
    <w:name w:val="Revision"/>
    <w:hidden/>
    <w:uiPriority w:val="99"/>
    <w:semiHidden/>
    <w:rsid w:val="00123E2F"/>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35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wbi.be/cgi/bin3/render.cgi?id=0023375_matrice&amp;ln=ln1&amp;userid=&amp;rubr=g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1773</Words>
  <Characters>9755</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Abdoul Aziz Danfakha</dc:creator>
  <cp:keywords/>
  <dc:description/>
  <cp:lastModifiedBy>DELL</cp:lastModifiedBy>
  <cp:revision>2</cp:revision>
  <dcterms:created xsi:type="dcterms:W3CDTF">2023-06-19T10:38:00Z</dcterms:created>
  <dcterms:modified xsi:type="dcterms:W3CDTF">2023-06-19T10:38:00Z</dcterms:modified>
</cp:coreProperties>
</file>