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B72" w:rsidRPr="000C7A28" w:rsidRDefault="00862B72" w:rsidP="00862B72">
      <w:pPr>
        <w:jc w:val="center"/>
        <w:rPr>
          <w:rFonts w:ascii="Lucida Fax" w:hAnsi="Lucida Fax" w:cs="CordiaUPC"/>
          <w:b/>
          <w:szCs w:val="23"/>
        </w:rPr>
      </w:pPr>
      <w:r w:rsidRPr="000C7A28">
        <w:rPr>
          <w:rFonts w:ascii="Lucida Fax" w:hAnsi="Lucida Fax" w:cs="CordiaUPC"/>
          <w:b/>
          <w:i/>
          <w:noProof/>
          <w:sz w:val="18"/>
          <w:szCs w:val="16"/>
        </w:rPr>
        <w:drawing>
          <wp:anchor distT="36576" distB="36576" distL="36576" distR="36576" simplePos="0" relativeHeight="251659264" behindDoc="0" locked="0" layoutInCell="1" allowOverlap="1" wp14:anchorId="5DE6C108" wp14:editId="78882DCA">
            <wp:simplePos x="0" y="0"/>
            <wp:positionH relativeFrom="column">
              <wp:posOffset>2243455</wp:posOffset>
            </wp:positionH>
            <wp:positionV relativeFrom="paragraph">
              <wp:posOffset>-258445</wp:posOffset>
            </wp:positionV>
            <wp:extent cx="1209675" cy="584200"/>
            <wp:effectExtent l="19050" t="0" r="9525" b="0"/>
            <wp:wrapTopAndBottom/>
            <wp:docPr id="2" name="Image 10" descr="drapeau_sene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descr="drapeau_senegal"/>
                    <pic:cNvPicPr>
                      <a:picLocks noChangeAspect="1" noChangeArrowheads="1"/>
                    </pic:cNvPicPr>
                  </pic:nvPicPr>
                  <pic:blipFill>
                    <a:blip r:embed="rId6" cstate="print"/>
                    <a:srcRect/>
                    <a:stretch>
                      <a:fillRect/>
                    </a:stretch>
                  </pic:blipFill>
                  <pic:spPr bwMode="auto">
                    <a:xfrm>
                      <a:off x="0" y="0"/>
                      <a:ext cx="1209675" cy="584200"/>
                    </a:xfrm>
                    <a:prstGeom prst="rect">
                      <a:avLst/>
                    </a:prstGeom>
                    <a:noFill/>
                    <a:ln w="9525" algn="in">
                      <a:noFill/>
                      <a:miter lim="800000"/>
                      <a:headEnd/>
                      <a:tailEnd/>
                    </a:ln>
                  </pic:spPr>
                </pic:pic>
              </a:graphicData>
            </a:graphic>
          </wp:anchor>
        </w:drawing>
      </w:r>
      <w:r w:rsidRPr="000C7A28">
        <w:rPr>
          <w:rFonts w:ascii="Lucida Fax" w:hAnsi="Lucida Fax" w:cs="CordiaUPC"/>
          <w:b/>
          <w:szCs w:val="23"/>
        </w:rPr>
        <w:t>RÉPUBLIQUE DU SÉNÉGAL</w:t>
      </w:r>
    </w:p>
    <w:p w:rsidR="00862B72" w:rsidRPr="000C7A28" w:rsidRDefault="00862B72" w:rsidP="00862B72">
      <w:pPr>
        <w:tabs>
          <w:tab w:val="left" w:pos="196"/>
        </w:tabs>
        <w:jc w:val="center"/>
        <w:rPr>
          <w:rFonts w:ascii="Lucida Fax" w:hAnsi="Lucida Fax" w:cs="CordiaUPC"/>
          <w:b/>
          <w:i/>
          <w:sz w:val="18"/>
          <w:szCs w:val="16"/>
        </w:rPr>
      </w:pPr>
      <w:r w:rsidRPr="000C7A28">
        <w:rPr>
          <w:rFonts w:ascii="Lucida Fax" w:hAnsi="Lucida Fax" w:cs="CordiaUPC"/>
          <w:b/>
          <w:i/>
          <w:sz w:val="18"/>
          <w:szCs w:val="16"/>
        </w:rPr>
        <w:t>Un Peuple – Un But – Une Foi</w:t>
      </w:r>
    </w:p>
    <w:p w:rsidR="00862B72" w:rsidRPr="000C7A28" w:rsidRDefault="00862B72" w:rsidP="00862B72">
      <w:pPr>
        <w:spacing w:line="360" w:lineRule="auto"/>
        <w:jc w:val="center"/>
        <w:rPr>
          <w:rFonts w:ascii="Lucida Fax" w:hAnsi="Lucida Fax" w:cs="CordiaUPC"/>
          <w:b/>
          <w:szCs w:val="23"/>
        </w:rPr>
      </w:pPr>
      <w:r w:rsidRPr="000C7A28">
        <w:rPr>
          <w:rFonts w:ascii="Lucida Fax" w:hAnsi="Lucida Fax" w:cs="CordiaUPC"/>
          <w:b/>
          <w:szCs w:val="23"/>
        </w:rPr>
        <w:t>MINISTÉRE DE LA JUSTICE</w:t>
      </w:r>
    </w:p>
    <w:p w:rsidR="00862B72" w:rsidRPr="00983CA6" w:rsidRDefault="00862B72" w:rsidP="00862B72">
      <w:pPr>
        <w:spacing w:line="360" w:lineRule="auto"/>
        <w:ind w:left="2832" w:firstLine="708"/>
        <w:rPr>
          <w:sz w:val="40"/>
          <w:szCs w:val="36"/>
        </w:rPr>
      </w:pPr>
      <w:r w:rsidRPr="00983CA6">
        <w:rPr>
          <w:b/>
          <w:sz w:val="28"/>
          <w:szCs w:val="23"/>
        </w:rPr>
        <w:t xml:space="preserve">         ----------</w:t>
      </w:r>
    </w:p>
    <w:p w:rsidR="00862B72" w:rsidRDefault="00862B72" w:rsidP="00862B72">
      <w:pPr>
        <w:jc w:val="center"/>
      </w:pPr>
    </w:p>
    <w:p w:rsidR="00862B72" w:rsidRDefault="00862B72" w:rsidP="00862B72">
      <w:pPr>
        <w:jc w:val="center"/>
      </w:pPr>
    </w:p>
    <w:p w:rsidR="00862B72" w:rsidRDefault="00862B72" w:rsidP="00862B72">
      <w:pPr>
        <w:jc w:val="center"/>
      </w:pPr>
    </w:p>
    <w:p w:rsidR="00862B72" w:rsidRDefault="00862B72" w:rsidP="00862B72">
      <w:pPr>
        <w:jc w:val="center"/>
      </w:pPr>
    </w:p>
    <w:p w:rsidR="00862B72" w:rsidRDefault="00862B72" w:rsidP="00862B72">
      <w:pPr>
        <w:jc w:val="center"/>
      </w:pPr>
    </w:p>
    <w:p w:rsidR="00862B72" w:rsidRPr="006A105E" w:rsidRDefault="00862B72" w:rsidP="00862B72">
      <w:pPr>
        <w:ind w:left="2832"/>
        <w:rPr>
          <w:rFonts w:ascii="Agency FB" w:hAnsi="Agency FB"/>
          <w:b/>
        </w:rPr>
      </w:pPr>
      <w:r>
        <w:rPr>
          <w:rFonts w:ascii="Agency FB" w:hAnsi="Agency FB"/>
          <w:b/>
        </w:rPr>
        <w:t xml:space="preserve">                          </w:t>
      </w:r>
    </w:p>
    <w:p w:rsidR="00862B72" w:rsidRDefault="00862B72" w:rsidP="00862B72">
      <w:pPr>
        <w:jc w:val="center"/>
        <w:rPr>
          <w:rFonts w:ascii="Trebuchet MS" w:hAnsi="Trebuchet MS"/>
          <w:b/>
          <w:bCs/>
          <w:color w:val="41405C"/>
          <w:sz w:val="32"/>
          <w:szCs w:val="32"/>
        </w:rPr>
      </w:pPr>
    </w:p>
    <w:p w:rsidR="00862B72" w:rsidRDefault="00862B72" w:rsidP="00862B72">
      <w:pPr>
        <w:jc w:val="center"/>
        <w:rPr>
          <w:rFonts w:ascii="Trebuchet MS" w:hAnsi="Trebuchet MS"/>
          <w:b/>
          <w:bCs/>
          <w:color w:val="41405C"/>
          <w:sz w:val="32"/>
          <w:szCs w:val="32"/>
        </w:rPr>
      </w:pPr>
    </w:p>
    <w:p w:rsidR="00862B72" w:rsidRDefault="00862B72" w:rsidP="00862B72">
      <w:pPr>
        <w:jc w:val="center"/>
        <w:rPr>
          <w:rFonts w:ascii="Trebuchet MS" w:hAnsi="Trebuchet MS"/>
          <w:b/>
          <w:bCs/>
          <w:color w:val="41405C"/>
          <w:sz w:val="32"/>
          <w:szCs w:val="32"/>
        </w:rPr>
      </w:pPr>
    </w:p>
    <w:p w:rsidR="00862B72" w:rsidRDefault="00862B72" w:rsidP="00862B72">
      <w:pPr>
        <w:jc w:val="center"/>
        <w:rPr>
          <w:rFonts w:ascii="Trebuchet MS" w:hAnsi="Trebuchet MS"/>
          <w:b/>
          <w:bCs/>
          <w:color w:val="41405C"/>
          <w:sz w:val="32"/>
          <w:szCs w:val="32"/>
        </w:rPr>
      </w:pPr>
    </w:p>
    <w:p w:rsidR="00862B72" w:rsidRDefault="00862B72" w:rsidP="00862B72">
      <w:pPr>
        <w:jc w:val="center"/>
        <w:rPr>
          <w:rFonts w:ascii="Trebuchet MS" w:hAnsi="Trebuchet MS"/>
          <w:b/>
          <w:bCs/>
          <w:color w:val="41405C"/>
          <w:sz w:val="32"/>
          <w:szCs w:val="32"/>
        </w:rPr>
      </w:pPr>
      <w:r>
        <w:rPr>
          <w:rFonts w:ascii="Times New Roman" w:hAnsi="Times New Roman"/>
          <w:noProof/>
        </w:rPr>
        <mc:AlternateContent>
          <mc:Choice Requires="wps">
            <w:drawing>
              <wp:anchor distT="0" distB="0" distL="114300" distR="114300" simplePos="0" relativeHeight="251661312" behindDoc="0" locked="0" layoutInCell="1" allowOverlap="1">
                <wp:simplePos x="0" y="0"/>
                <wp:positionH relativeFrom="column">
                  <wp:posOffset>-168275</wp:posOffset>
                </wp:positionH>
                <wp:positionV relativeFrom="paragraph">
                  <wp:posOffset>52070</wp:posOffset>
                </wp:positionV>
                <wp:extent cx="6245860" cy="1454150"/>
                <wp:effectExtent l="121920" t="120650" r="42545" b="44450"/>
                <wp:wrapNone/>
                <wp:docPr id="11" name="Rectangle à coins arrondi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5860" cy="1454150"/>
                        </a:xfrm>
                        <a:prstGeom prst="roundRect">
                          <a:avLst>
                            <a:gd name="adj" fmla="val 16667"/>
                          </a:avLst>
                        </a:prstGeom>
                        <a:solidFill>
                          <a:srgbClr val="FFFFFF"/>
                        </a:solidFill>
                        <a:ln w="76200">
                          <a:solidFill>
                            <a:schemeClr val="tx2">
                              <a:lumMod val="100000"/>
                              <a:lumOff val="0"/>
                            </a:schemeClr>
                          </a:solidFill>
                          <a:round/>
                          <a:headEnd/>
                          <a:tailEnd/>
                        </a:ln>
                        <a:effectLst>
                          <a:outerShdw dist="107763" dir="13500000" algn="ctr" rotWithShape="0">
                            <a:srgbClr val="808080">
                              <a:alpha val="50000"/>
                            </a:srgbClr>
                          </a:outerShdw>
                        </a:effectLst>
                      </wps:spPr>
                      <wps:txbx>
                        <w:txbxContent>
                          <w:p w:rsidR="00862B72" w:rsidRPr="0033784E" w:rsidRDefault="00862B72" w:rsidP="00862B72">
                            <w:pPr>
                              <w:shd w:val="clear" w:color="auto" w:fill="F2F2F2" w:themeFill="background1" w:themeFillShade="F2"/>
                              <w:tabs>
                                <w:tab w:val="left" w:pos="3980"/>
                              </w:tabs>
                              <w:spacing w:line="360" w:lineRule="auto"/>
                              <w:jc w:val="center"/>
                              <w:rPr>
                                <w:rFonts w:ascii="Rockwell Extra Bold" w:eastAsia="Arial Unicode MS" w:hAnsi="Rockwell Extra Bold" w:cs="Arial Unicode MS"/>
                                <w:b/>
                                <w:sz w:val="40"/>
                                <w:szCs w:val="28"/>
                              </w:rPr>
                            </w:pPr>
                            <w:r>
                              <w:rPr>
                                <w:rFonts w:ascii="Rockwell Extra Bold" w:eastAsia="Arial Unicode MS" w:hAnsi="Rockwell Extra Bold" w:cs="Arial Unicode MS"/>
                                <w:b/>
                                <w:sz w:val="40"/>
                                <w:szCs w:val="28"/>
                              </w:rPr>
                              <w:t>SEMINAIRE</w:t>
                            </w:r>
                            <w:r w:rsidR="00972828">
                              <w:rPr>
                                <w:rFonts w:ascii="Rockwell Extra Bold" w:eastAsia="Arial Unicode MS" w:hAnsi="Rockwell Extra Bold" w:cs="Arial Unicode MS"/>
                                <w:b/>
                                <w:sz w:val="40"/>
                                <w:szCs w:val="28"/>
                              </w:rPr>
                              <w:t>S</w:t>
                            </w:r>
                            <w:r>
                              <w:rPr>
                                <w:rFonts w:ascii="Rockwell Extra Bold" w:eastAsia="Arial Unicode MS" w:hAnsi="Rockwell Extra Bold" w:cs="Arial Unicode MS"/>
                                <w:b/>
                                <w:sz w:val="40"/>
                                <w:szCs w:val="28"/>
                              </w:rPr>
                              <w:t xml:space="preserve"> SUR LES NULLITES DE PROCEDURE EN MATIERE CRIMINELLE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angle à coins arrondis 11" o:spid="_x0000_s1026" style="position:absolute;left:0;text-align:left;margin-left:-13.25pt;margin-top:4.1pt;width:491.8pt;height:11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" strokecolor="#44546a [3215]" strokeweight="6pt">
                <v:shadow on="t" opacity=".5" offset="-6pt,-6pt"/>
                <v:textbox>
                  <w:txbxContent>
                    <w:p w:rsidR="00862B72" w:rsidRPr="0033784E" w:rsidRDefault="00862B72" w:rsidP="00862B72">
                      <w:pPr>
                        <w:shd w:val="clear" w:color="auto" w:fill="F2F2F2" w:themeFill="background1" w:themeFillShade="F2"/>
                        <w:tabs>
                          <w:tab w:val="left" w:pos="3980"/>
                        </w:tabs>
                        <w:spacing w:line="360" w:lineRule="auto"/>
                        <w:jc w:val="center"/>
                        <w:rPr>
                          <w:rFonts w:ascii="Rockwell Extra Bold" w:eastAsia="Arial Unicode MS" w:hAnsi="Rockwell Extra Bold" w:cs="Arial Unicode MS"/>
                          <w:b/>
                          <w:sz w:val="40"/>
                          <w:szCs w:val="28"/>
                        </w:rPr>
                      </w:pPr>
                      <w:r>
                        <w:rPr>
                          <w:rFonts w:ascii="Rockwell Extra Bold" w:eastAsia="Arial Unicode MS" w:hAnsi="Rockwell Extra Bold" w:cs="Arial Unicode MS"/>
                          <w:b/>
                          <w:sz w:val="40"/>
                          <w:szCs w:val="28"/>
                        </w:rPr>
                        <w:t>SEMINAIRE</w:t>
                      </w:r>
                      <w:r w:rsidR="00972828">
                        <w:rPr>
                          <w:rFonts w:ascii="Rockwell Extra Bold" w:eastAsia="Arial Unicode MS" w:hAnsi="Rockwell Extra Bold" w:cs="Arial Unicode MS"/>
                          <w:b/>
                          <w:sz w:val="40"/>
                          <w:szCs w:val="28"/>
                        </w:rPr>
                        <w:t>S</w:t>
                      </w:r>
                      <w:r>
                        <w:rPr>
                          <w:rFonts w:ascii="Rockwell Extra Bold" w:eastAsia="Arial Unicode MS" w:hAnsi="Rockwell Extra Bold" w:cs="Arial Unicode MS"/>
                          <w:b/>
                          <w:sz w:val="40"/>
                          <w:szCs w:val="28"/>
                        </w:rPr>
                        <w:t xml:space="preserve"> SUR LES NULLITES DE PROCEDURE EN MATIERE CRIMINELLE </w:t>
                      </w:r>
                    </w:p>
                  </w:txbxContent>
                </v:textbox>
              </v:roundrect>
            </w:pict>
          </mc:Fallback>
        </mc:AlternateContent>
      </w:r>
    </w:p>
    <w:p w:rsidR="00862B72" w:rsidRDefault="00862B72" w:rsidP="00862B72">
      <w:pPr>
        <w:ind w:left="2124" w:firstLine="708"/>
      </w:pPr>
    </w:p>
    <w:p w:rsidR="00862B72" w:rsidRPr="0033784E" w:rsidRDefault="00862B72" w:rsidP="00862B72"/>
    <w:p w:rsidR="00862B72" w:rsidRPr="0033784E" w:rsidRDefault="00862B72" w:rsidP="00862B72"/>
    <w:p w:rsidR="00862B72" w:rsidRPr="0033784E" w:rsidRDefault="00862B72" w:rsidP="00862B72"/>
    <w:p w:rsidR="00862B72" w:rsidRPr="0033784E" w:rsidRDefault="00862B72" w:rsidP="00862B72"/>
    <w:p w:rsidR="00862B72" w:rsidRPr="0033784E" w:rsidRDefault="00862B72" w:rsidP="00862B72"/>
    <w:p w:rsidR="00862B72" w:rsidRPr="0033784E" w:rsidRDefault="00862B72" w:rsidP="00862B72"/>
    <w:p w:rsidR="00862B72" w:rsidRPr="0033784E" w:rsidRDefault="00862B72" w:rsidP="00862B72"/>
    <w:p w:rsidR="00862B72" w:rsidRPr="0033784E" w:rsidRDefault="00862B72" w:rsidP="00862B72"/>
    <w:p w:rsidR="00862B72" w:rsidRPr="0033784E" w:rsidRDefault="00862B72" w:rsidP="00862B72"/>
    <w:p w:rsidR="00862B72" w:rsidRPr="0033784E" w:rsidRDefault="00862B72" w:rsidP="00862B72"/>
    <w:p w:rsidR="00862B72" w:rsidRPr="00862B72" w:rsidRDefault="00862B72" w:rsidP="00862B72">
      <w:pPr>
        <w:tabs>
          <w:tab w:val="left" w:pos="6220"/>
        </w:tabs>
        <w:spacing w:line="360" w:lineRule="auto"/>
        <w:jc w:val="center"/>
        <w:rPr>
          <w:rFonts w:ascii="Calisto MT" w:hAnsi="Calisto MT"/>
          <w:b/>
          <w:sz w:val="52"/>
          <w:szCs w:val="5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62B72">
        <w:rPr>
          <w:rFonts w:ascii="Calisto MT" w:hAnsi="Calisto MT"/>
          <w:b/>
          <w:sz w:val="52"/>
          <w:szCs w:val="5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COMPILATION DES RAPPORTS</w:t>
      </w:r>
    </w:p>
    <w:p w:rsidR="00862B72" w:rsidRDefault="00862B72" w:rsidP="00862B72">
      <w:pPr>
        <w:tabs>
          <w:tab w:val="left" w:pos="6220"/>
        </w:tabs>
        <w:spacing w:line="360" w:lineRule="auto"/>
        <w:rPr>
          <w:rFonts w:ascii="Calisto MT" w:hAnsi="Calisto MT"/>
          <w:b/>
          <w:sz w:val="28"/>
        </w:rPr>
      </w:pPr>
    </w:p>
    <w:p w:rsidR="00862B72" w:rsidRDefault="00862B72">
      <w:pPr>
        <w:spacing w:after="160" w:line="259" w:lineRule="auto"/>
        <w:rPr>
          <w:rFonts w:ascii="Monotype Corsiva" w:hAnsi="Monotype Corsiva"/>
          <w:b/>
          <w:bCs/>
          <w:i/>
          <w:iCs/>
          <w:szCs w:val="20"/>
        </w:rPr>
      </w:pPr>
    </w:p>
    <w:p w:rsidR="00862B72" w:rsidRDefault="00862B72">
      <w:pPr>
        <w:spacing w:after="160" w:line="259" w:lineRule="auto"/>
        <w:rPr>
          <w:rFonts w:ascii="Monotype Corsiva" w:hAnsi="Monotype Corsiva"/>
          <w:b/>
          <w:bCs/>
          <w:i/>
          <w:iCs/>
          <w:szCs w:val="20"/>
        </w:rPr>
      </w:pPr>
    </w:p>
    <w:p w:rsidR="00862B72" w:rsidRDefault="00862B72">
      <w:pPr>
        <w:spacing w:after="160" w:line="259" w:lineRule="auto"/>
        <w:rPr>
          <w:rFonts w:ascii="Monotype Corsiva" w:hAnsi="Monotype Corsiva"/>
          <w:b/>
          <w:bCs/>
          <w:i/>
          <w:iCs/>
          <w:szCs w:val="20"/>
        </w:rPr>
      </w:pPr>
    </w:p>
    <w:p w:rsidR="00862B72" w:rsidRDefault="00862B72">
      <w:pPr>
        <w:spacing w:after="160" w:line="259" w:lineRule="auto"/>
        <w:rPr>
          <w:rFonts w:ascii="Monotype Corsiva" w:hAnsi="Monotype Corsiva"/>
          <w:b/>
          <w:bCs/>
          <w:i/>
          <w:iCs/>
          <w:szCs w:val="20"/>
        </w:rPr>
      </w:pPr>
    </w:p>
    <w:p w:rsidR="00862B72" w:rsidRDefault="00862B72">
      <w:pPr>
        <w:spacing w:after="160" w:line="259" w:lineRule="auto"/>
        <w:rPr>
          <w:rFonts w:ascii="Monotype Corsiva" w:hAnsi="Monotype Corsiva"/>
          <w:b/>
          <w:bCs/>
          <w:i/>
          <w:iCs/>
          <w:szCs w:val="20"/>
        </w:rPr>
      </w:pPr>
    </w:p>
    <w:p w:rsidR="00862B72" w:rsidRDefault="00862B72">
      <w:pPr>
        <w:spacing w:after="160" w:line="259" w:lineRule="auto"/>
        <w:rPr>
          <w:rFonts w:ascii="Monotype Corsiva" w:hAnsi="Monotype Corsiva"/>
          <w:b/>
          <w:bCs/>
          <w:i/>
          <w:iCs/>
          <w:szCs w:val="20"/>
        </w:rPr>
      </w:pPr>
    </w:p>
    <w:p w:rsidR="00862B72" w:rsidRDefault="00862B72">
      <w:pPr>
        <w:spacing w:after="160" w:line="259" w:lineRule="auto"/>
        <w:rPr>
          <w:rFonts w:ascii="Monotype Corsiva" w:hAnsi="Monotype Corsiva"/>
          <w:b/>
          <w:bCs/>
          <w:i/>
          <w:iCs/>
          <w:szCs w:val="20"/>
        </w:rPr>
      </w:pPr>
    </w:p>
    <w:p w:rsidR="00C56B28" w:rsidRDefault="00C56B28">
      <w:pPr>
        <w:spacing w:after="160" w:line="259" w:lineRule="auto"/>
        <w:rPr>
          <w:rFonts w:ascii="Monotype Corsiva" w:hAnsi="Monotype Corsiva"/>
          <w:b/>
          <w:bCs/>
          <w:i/>
          <w:iCs/>
          <w:szCs w:val="20"/>
        </w:rPr>
      </w:pPr>
      <w:r>
        <w:rPr>
          <w:rFonts w:ascii="Monotype Corsiva" w:hAnsi="Monotype Corsiva"/>
          <w:b/>
          <w:bCs/>
          <w:i/>
          <w:iCs/>
          <w:szCs w:val="20"/>
        </w:rPr>
        <w:br w:type="page"/>
      </w:r>
    </w:p>
    <w:p w:rsidR="00C56B28" w:rsidRDefault="00C56B28" w:rsidP="00C56B28">
      <w:pPr>
        <w:spacing w:after="120"/>
        <w:jc w:val="center"/>
        <w:rPr>
          <w:rFonts w:ascii="Times New Roman" w:hAnsi="Times New Roman" w:cs="Times New Roman"/>
          <w:b/>
          <w:i/>
        </w:rPr>
      </w:pPr>
    </w:p>
    <w:p w:rsidR="00811E1A" w:rsidRPr="00B92883" w:rsidRDefault="00B92883" w:rsidP="00B92883">
      <w:pPr>
        <w:spacing w:line="360" w:lineRule="auto"/>
        <w:rPr>
          <w:rFonts w:ascii="Lucida Fax" w:hAnsi="Lucida Fax" w:cs="CordiaUPC"/>
          <w:b/>
        </w:rPr>
      </w:pPr>
      <w:r w:rsidRPr="00B92883">
        <w:rPr>
          <w:rFonts w:ascii="Lucida Fax" w:hAnsi="Lucida Fax" w:cs="CordiaUPC"/>
          <w:b/>
        </w:rPr>
        <w:t>CENTRE DE FORMATION JUDICIAIRE</w:t>
      </w:r>
      <w:r w:rsidRPr="00B92883">
        <w:rPr>
          <w:rFonts w:ascii="Lucida Fax" w:hAnsi="Lucida Fax" w:cs="CordiaUPC"/>
          <w:b/>
        </w:rPr>
        <w:tab/>
      </w:r>
      <w:r>
        <w:rPr>
          <w:rFonts w:ascii="Lucida Fax" w:hAnsi="Lucida Fax" w:cs="CordiaUPC"/>
          <w:b/>
        </w:rPr>
        <w:t>ET</w:t>
      </w:r>
      <w:r w:rsidRPr="00B92883">
        <w:rPr>
          <w:rFonts w:ascii="Lucida Fax" w:hAnsi="Lucida Fax" w:cs="CordiaUPC"/>
          <w:b/>
        </w:rPr>
        <w:tab/>
      </w:r>
      <w:r>
        <w:rPr>
          <w:rFonts w:ascii="Lucida Fax" w:hAnsi="Lucida Fax" w:cs="CordiaUPC"/>
          <w:b/>
        </w:rPr>
        <w:t xml:space="preserve">   </w:t>
      </w:r>
      <w:r w:rsidRPr="00B92883">
        <w:rPr>
          <w:rFonts w:ascii="Lucida Fax" w:hAnsi="Lucida Fax" w:cs="CordiaUPC"/>
          <w:b/>
        </w:rPr>
        <w:t>COUR D’APPEL DE THIES</w:t>
      </w:r>
    </w:p>
    <w:p w:rsidR="00811E1A" w:rsidRPr="00983CA6" w:rsidRDefault="00811E1A" w:rsidP="00811E1A">
      <w:pPr>
        <w:spacing w:line="360" w:lineRule="auto"/>
        <w:ind w:left="2832" w:firstLine="708"/>
        <w:rPr>
          <w:sz w:val="40"/>
          <w:szCs w:val="36"/>
        </w:rPr>
      </w:pPr>
      <w:r w:rsidRPr="00983CA6">
        <w:rPr>
          <w:b/>
          <w:sz w:val="28"/>
          <w:szCs w:val="23"/>
        </w:rPr>
        <w:t xml:space="preserve">         </w:t>
      </w:r>
    </w:p>
    <w:p w:rsidR="00811E1A" w:rsidRDefault="00811E1A" w:rsidP="00811E1A">
      <w:pPr>
        <w:jc w:val="center"/>
      </w:pPr>
    </w:p>
    <w:p w:rsidR="00811E1A" w:rsidRDefault="00811E1A" w:rsidP="00811E1A">
      <w:pPr>
        <w:jc w:val="center"/>
      </w:pPr>
    </w:p>
    <w:p w:rsidR="00811E1A" w:rsidRDefault="00811E1A" w:rsidP="00811E1A">
      <w:pPr>
        <w:jc w:val="center"/>
      </w:pPr>
    </w:p>
    <w:p w:rsidR="00811E1A" w:rsidRDefault="00811E1A" w:rsidP="00811E1A">
      <w:pPr>
        <w:jc w:val="center"/>
      </w:pPr>
    </w:p>
    <w:p w:rsidR="00811E1A" w:rsidRDefault="00811E1A" w:rsidP="00811E1A">
      <w:pPr>
        <w:jc w:val="center"/>
      </w:pPr>
    </w:p>
    <w:p w:rsidR="00C56B28" w:rsidRDefault="00811E1A" w:rsidP="00B92883">
      <w:pPr>
        <w:ind w:left="2832"/>
        <w:rPr>
          <w:rFonts w:ascii="Times New Roman" w:hAnsi="Times New Roman" w:cs="Times New Roman"/>
          <w:b/>
          <w:i/>
        </w:rPr>
      </w:pPr>
      <w:r>
        <w:rPr>
          <w:rFonts w:ascii="Agency FB" w:hAnsi="Agency FB"/>
          <w:b/>
        </w:rPr>
        <w:t xml:space="preserve">                          </w:t>
      </w:r>
    </w:p>
    <w:p w:rsidR="00C56B28" w:rsidRDefault="00C56B28" w:rsidP="00C56B28">
      <w:pPr>
        <w:spacing w:after="120"/>
        <w:jc w:val="center"/>
        <w:rPr>
          <w:rFonts w:ascii="Times New Roman" w:hAnsi="Times New Roman" w:cs="Times New Roman"/>
          <w:b/>
          <w:i/>
        </w:rPr>
      </w:pPr>
    </w:p>
    <w:p w:rsidR="00C56B28" w:rsidRDefault="00C56B28" w:rsidP="00C56B28">
      <w:pPr>
        <w:spacing w:after="120"/>
        <w:jc w:val="center"/>
        <w:rPr>
          <w:rFonts w:ascii="Times New Roman" w:hAnsi="Times New Roman" w:cs="Times New Roman"/>
          <w:b/>
          <w:i/>
        </w:rPr>
      </w:pPr>
    </w:p>
    <w:p w:rsidR="00C56B28" w:rsidRDefault="00C56B28" w:rsidP="00C56B28">
      <w:pPr>
        <w:spacing w:after="120"/>
        <w:jc w:val="center"/>
        <w:rPr>
          <w:rFonts w:ascii="Times New Roman" w:hAnsi="Times New Roman" w:cs="Times New Roman"/>
          <w:b/>
          <w:i/>
        </w:rPr>
      </w:pPr>
    </w:p>
    <w:p w:rsidR="00C56B28" w:rsidRDefault="00C56B28" w:rsidP="00C56B28">
      <w:pPr>
        <w:spacing w:after="120"/>
        <w:jc w:val="center"/>
        <w:rPr>
          <w:rFonts w:ascii="Times New Roman" w:hAnsi="Times New Roman" w:cs="Times New Roman"/>
          <w:b/>
          <w:i/>
        </w:rPr>
      </w:pPr>
    </w:p>
    <w:p w:rsidR="00C56B28" w:rsidRDefault="00C56B28" w:rsidP="00C56B28">
      <w:pPr>
        <w:spacing w:after="120"/>
        <w:jc w:val="center"/>
        <w:rPr>
          <w:rFonts w:ascii="Times New Roman" w:hAnsi="Times New Roman" w:cs="Times New Roman"/>
          <w:b/>
          <w:i/>
        </w:rPr>
      </w:pPr>
    </w:p>
    <w:p w:rsidR="00C56B28" w:rsidRDefault="00C56B28" w:rsidP="00C56B28">
      <w:pPr>
        <w:spacing w:after="120"/>
        <w:jc w:val="center"/>
        <w:rPr>
          <w:rFonts w:ascii="Times New Roman" w:hAnsi="Times New Roman" w:cs="Times New Roman"/>
          <w:b/>
          <w:i/>
        </w:rPr>
      </w:pPr>
    </w:p>
    <w:p w:rsidR="00C56B28" w:rsidRPr="00C56B28" w:rsidRDefault="00C56B28" w:rsidP="00C56B28">
      <w:pPr>
        <w:spacing w:line="360" w:lineRule="auto"/>
        <w:jc w:val="center"/>
        <w:rPr>
          <w:b/>
        </w:rPr>
      </w:pPr>
      <w:r w:rsidRPr="00C56B28">
        <w:rPr>
          <w:b/>
        </w:rPr>
        <w:t>RAPPORT SEMINAIRE SUR LES CHAMBRES CRIMINELLES</w:t>
      </w:r>
    </w:p>
    <w:p w:rsidR="00C56B28" w:rsidRDefault="00C56B28" w:rsidP="00C56B28">
      <w:pPr>
        <w:spacing w:after="120"/>
        <w:jc w:val="center"/>
        <w:rPr>
          <w:rFonts w:ascii="Times New Roman" w:hAnsi="Times New Roman" w:cs="Times New Roman"/>
          <w:b/>
          <w:i/>
        </w:rPr>
      </w:pPr>
    </w:p>
    <w:p w:rsidR="00C56B28" w:rsidRPr="00C56B28" w:rsidRDefault="00C56B28" w:rsidP="00C56B28">
      <w:pPr>
        <w:spacing w:after="120"/>
        <w:jc w:val="center"/>
        <w:rPr>
          <w:rFonts w:ascii="Times New Roman" w:hAnsi="Times New Roman" w:cs="Times New Roman"/>
          <w:b/>
        </w:rPr>
      </w:pPr>
      <w:r w:rsidRPr="00C56B28">
        <w:rPr>
          <w:rFonts w:ascii="Times New Roman" w:hAnsi="Times New Roman" w:cs="Times New Roman"/>
          <w:b/>
        </w:rPr>
        <w:t>THIES LE MARDI 14 NOVEMBRE 2017/ HOTEL BIG FAIM</w:t>
      </w:r>
    </w:p>
    <w:p w:rsidR="00C56B28" w:rsidRDefault="00C56B28">
      <w:pPr>
        <w:spacing w:after="160" w:line="259" w:lineRule="auto"/>
        <w:rPr>
          <w:rFonts w:ascii="Monotype Corsiva" w:hAnsi="Monotype Corsiva"/>
          <w:b/>
          <w:bCs/>
          <w:i/>
          <w:iCs/>
          <w:szCs w:val="20"/>
        </w:rPr>
      </w:pPr>
    </w:p>
    <w:p w:rsidR="00C56B28" w:rsidRDefault="00B92883">
      <w:pPr>
        <w:spacing w:after="160" w:line="259" w:lineRule="auto"/>
        <w:rPr>
          <w:rFonts w:ascii="Monotype Corsiva" w:hAnsi="Monotype Corsiva"/>
          <w:b/>
          <w:bCs/>
          <w:i/>
          <w:iCs/>
          <w:szCs w:val="20"/>
        </w:rPr>
      </w:pPr>
      <w:r>
        <w:rPr>
          <w:noProof/>
        </w:rPr>
        <w:drawing>
          <wp:anchor distT="0" distB="0" distL="114300" distR="114300" simplePos="0" relativeHeight="251678720" behindDoc="0" locked="0" layoutInCell="1" allowOverlap="1" wp14:anchorId="31A0A94C" wp14:editId="7B8BA657">
            <wp:simplePos x="0" y="0"/>
            <wp:positionH relativeFrom="column">
              <wp:posOffset>1900555</wp:posOffset>
            </wp:positionH>
            <wp:positionV relativeFrom="paragraph">
              <wp:posOffset>4218940</wp:posOffset>
            </wp:positionV>
            <wp:extent cx="1990725" cy="717550"/>
            <wp:effectExtent l="0" t="0" r="9525" b="6350"/>
            <wp:wrapSquare wrapText="bothSides"/>
            <wp:docPr id="1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7" cstate="print"/>
                    <a:srcRect l="24503" t="47961" r="28311" b="27754"/>
                    <a:stretch>
                      <a:fillRect/>
                    </a:stretch>
                  </pic:blipFill>
                  <pic:spPr bwMode="auto">
                    <a:xfrm>
                      <a:off x="0" y="0"/>
                      <a:ext cx="1990725" cy="717550"/>
                    </a:xfrm>
                    <a:prstGeom prst="rect">
                      <a:avLst/>
                    </a:prstGeom>
                    <a:noFill/>
                    <a:ln w="9525">
                      <a:noFill/>
                      <a:miter lim="800000"/>
                      <a:headEnd/>
                      <a:tailEnd/>
                    </a:ln>
                  </pic:spPr>
                </pic:pic>
              </a:graphicData>
            </a:graphic>
          </wp:anchor>
        </w:drawing>
      </w:r>
      <w:r>
        <w:rPr>
          <w:noProof/>
        </w:rPr>
        <w:t xml:space="preserve"> </w:t>
      </w:r>
      <w:r w:rsidR="00C56B28">
        <w:rPr>
          <w:rFonts w:ascii="Monotype Corsiva" w:hAnsi="Monotype Corsiva"/>
          <w:b/>
          <w:bCs/>
          <w:i/>
          <w:iCs/>
          <w:szCs w:val="20"/>
        </w:rPr>
        <w:br w:type="page"/>
      </w:r>
    </w:p>
    <w:p w:rsidR="00862B72" w:rsidRDefault="00862B72">
      <w:pPr>
        <w:spacing w:after="160" w:line="259" w:lineRule="auto"/>
        <w:rPr>
          <w:rFonts w:ascii="Monotype Corsiva" w:hAnsi="Monotype Corsiva"/>
          <w:b/>
          <w:bCs/>
          <w:i/>
          <w:iCs/>
          <w:szCs w:val="20"/>
        </w:rPr>
      </w:pPr>
    </w:p>
    <w:p w:rsidR="00D07BE6" w:rsidRDefault="00D07BE6" w:rsidP="00D07BE6">
      <w:pPr>
        <w:jc w:val="center"/>
        <w:rPr>
          <w:rFonts w:ascii="Monotype Corsiva" w:hAnsi="Monotype Corsiva"/>
          <w:b/>
          <w:bCs/>
          <w:i/>
          <w:iCs/>
          <w:szCs w:val="20"/>
        </w:rPr>
      </w:pPr>
      <w:r>
        <w:rPr>
          <w:rFonts w:ascii="Monotype Corsiva" w:hAnsi="Monotype Corsiva"/>
          <w:b/>
          <w:i/>
          <w:noProof/>
          <w:szCs w:val="20"/>
        </w:rPr>
        <w:drawing>
          <wp:inline distT="0" distB="0" distL="0" distR="0">
            <wp:extent cx="1204595" cy="518795"/>
            <wp:effectExtent l="0" t="0" r="0" b="0"/>
            <wp:docPr id="1" name="Image 1" descr="Drapeau du Séné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descr="Drapeau du Sénég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4595" cy="518795"/>
                    </a:xfrm>
                    <a:prstGeom prst="rect">
                      <a:avLst/>
                    </a:prstGeom>
                    <a:noFill/>
                    <a:ln>
                      <a:noFill/>
                    </a:ln>
                  </pic:spPr>
                </pic:pic>
              </a:graphicData>
            </a:graphic>
          </wp:inline>
        </w:drawing>
      </w:r>
    </w:p>
    <w:p w:rsidR="00D07BE6" w:rsidRDefault="00D07BE6" w:rsidP="00D07BE6">
      <w:pPr>
        <w:jc w:val="center"/>
        <w:rPr>
          <w:rFonts w:ascii="Times New Roman" w:hAnsi="Times New Roman"/>
          <w:bCs/>
          <w:iCs/>
          <w:sz w:val="14"/>
          <w:szCs w:val="20"/>
        </w:rPr>
      </w:pPr>
      <w:r>
        <w:rPr>
          <w:bCs/>
          <w:iCs/>
          <w:sz w:val="14"/>
          <w:szCs w:val="20"/>
        </w:rPr>
        <w:t>REPUBLIQUE DU SENEGAL</w:t>
      </w:r>
    </w:p>
    <w:p w:rsidR="00D07BE6" w:rsidRDefault="00D07BE6" w:rsidP="00D07BE6">
      <w:pPr>
        <w:jc w:val="center"/>
        <w:rPr>
          <w:rFonts w:ascii="Monotype Corsiva" w:hAnsi="Monotype Corsiva"/>
          <w:b/>
          <w:bCs/>
          <w:i/>
          <w:iCs/>
          <w:szCs w:val="20"/>
        </w:rPr>
      </w:pPr>
      <w:r>
        <w:rPr>
          <w:rFonts w:ascii="Monotype Corsiva" w:hAnsi="Monotype Corsiva"/>
          <w:b/>
          <w:bCs/>
          <w:i/>
          <w:iCs/>
          <w:szCs w:val="20"/>
        </w:rPr>
        <w:t>Un Peuple – Un But – Une Foi</w:t>
      </w:r>
    </w:p>
    <w:p w:rsidR="00D07BE6" w:rsidRDefault="00D07BE6" w:rsidP="00D07BE6">
      <w:pPr>
        <w:jc w:val="center"/>
        <w:rPr>
          <w:rFonts w:ascii="Bookman Old Style" w:hAnsi="Bookman Old Style"/>
          <w:b/>
          <w:bCs/>
          <w:sz w:val="20"/>
          <w:szCs w:val="20"/>
        </w:rPr>
      </w:pPr>
      <w:r>
        <w:rPr>
          <w:rFonts w:ascii="Bookman Old Style" w:hAnsi="Bookman Old Style"/>
          <w:b/>
          <w:bCs/>
          <w:sz w:val="20"/>
          <w:szCs w:val="20"/>
        </w:rPr>
        <w:t>MINISTERE DE LA JUSTICE</w:t>
      </w:r>
    </w:p>
    <w:p w:rsidR="00D07BE6" w:rsidRDefault="00D07BE6" w:rsidP="00D07BE6">
      <w:pPr>
        <w:jc w:val="center"/>
        <w:rPr>
          <w:rFonts w:ascii="Eras Bold ITC" w:hAnsi="Eras Bold ITC"/>
          <w:b/>
          <w:bCs/>
          <w:sz w:val="16"/>
        </w:rPr>
      </w:pPr>
      <w:r>
        <w:rPr>
          <w:rFonts w:ascii="Eras Bold ITC" w:hAnsi="Eras Bold ITC"/>
          <w:b/>
          <w:bCs/>
          <w:sz w:val="16"/>
        </w:rPr>
        <w:t>COUR D’APPEL DE THIES</w:t>
      </w:r>
    </w:p>
    <w:p w:rsidR="00D07BE6" w:rsidRDefault="00D07BE6" w:rsidP="00D07BE6">
      <w:pPr>
        <w:jc w:val="both"/>
        <w:rPr>
          <w:rFonts w:ascii="Times New Roman" w:hAnsi="Times New Roman" w:cs="Times New Roman"/>
        </w:rPr>
      </w:pPr>
    </w:p>
    <w:p w:rsidR="00D07BE6" w:rsidRDefault="00D07BE6" w:rsidP="00D07BE6">
      <w:pPr>
        <w:jc w:val="center"/>
        <w:rPr>
          <w:rFonts w:ascii="Times New Roman" w:hAnsi="Times New Roman" w:cs="Times New Roman"/>
          <w:b/>
          <w:i/>
        </w:rPr>
      </w:pPr>
    </w:p>
    <w:p w:rsidR="00D07BE6" w:rsidRDefault="00D07BE6" w:rsidP="00D07BE6">
      <w:pPr>
        <w:jc w:val="center"/>
        <w:rPr>
          <w:rFonts w:ascii="Times New Roman" w:hAnsi="Times New Roman" w:cs="Times New Roman"/>
          <w:b/>
          <w:i/>
        </w:rPr>
      </w:pPr>
    </w:p>
    <w:p w:rsidR="00D07BE6" w:rsidRDefault="00D07BE6" w:rsidP="00D07BE6">
      <w:pPr>
        <w:jc w:val="center"/>
        <w:rPr>
          <w:rFonts w:ascii="Times New Roman" w:hAnsi="Times New Roman" w:cs="Times New Roman"/>
          <w:b/>
          <w:i/>
        </w:rPr>
      </w:pPr>
      <w:r>
        <w:rPr>
          <w:rFonts w:ascii="Times New Roman" w:hAnsi="Times New Roman" w:cs="Times New Roman"/>
          <w:b/>
          <w:i/>
        </w:rPr>
        <w:t>SEMINAIRE SUR LES CHAMBRES CRIMINELLES</w:t>
      </w:r>
    </w:p>
    <w:p w:rsidR="00D07BE6" w:rsidRDefault="00D07BE6" w:rsidP="00D07BE6">
      <w:pPr>
        <w:spacing w:after="120"/>
        <w:jc w:val="center"/>
        <w:rPr>
          <w:rFonts w:ascii="Times New Roman" w:hAnsi="Times New Roman" w:cs="Times New Roman"/>
          <w:b/>
          <w:i/>
        </w:rPr>
      </w:pPr>
      <w:r>
        <w:rPr>
          <w:rFonts w:ascii="Times New Roman" w:hAnsi="Times New Roman" w:cs="Times New Roman"/>
          <w:b/>
          <w:i/>
        </w:rPr>
        <w:t>THIES LE MARDI 14 NOVEMBRE 2017/ HOTEL BIG FAIM</w:t>
      </w:r>
    </w:p>
    <w:p w:rsidR="00D07BE6" w:rsidRDefault="00D07BE6" w:rsidP="00D07BE6">
      <w:pPr>
        <w:spacing w:line="360" w:lineRule="auto"/>
        <w:jc w:val="center"/>
        <w:rPr>
          <w:b/>
          <w:u w:val="thick"/>
        </w:rPr>
      </w:pPr>
    </w:p>
    <w:p w:rsidR="00D07BE6" w:rsidRDefault="00D07BE6" w:rsidP="00D07BE6">
      <w:pPr>
        <w:spacing w:line="360" w:lineRule="auto"/>
        <w:jc w:val="center"/>
        <w:rPr>
          <w:b/>
          <w:u w:val="thick"/>
        </w:rPr>
      </w:pPr>
      <w:r>
        <w:rPr>
          <w:b/>
          <w:u w:val="thick"/>
        </w:rPr>
        <w:t>Rapport Séminaire sur les chambres criminelles</w:t>
      </w:r>
    </w:p>
    <w:p w:rsidR="00D07BE6" w:rsidRDefault="00D07BE6" w:rsidP="00D07BE6">
      <w:pPr>
        <w:spacing w:line="360" w:lineRule="auto"/>
        <w:jc w:val="center"/>
      </w:pPr>
      <w:r>
        <w:t>Début : 10 heures 14 minutes</w:t>
      </w:r>
    </w:p>
    <w:p w:rsidR="00D07BE6" w:rsidRDefault="00D07BE6" w:rsidP="00D07BE6">
      <w:pPr>
        <w:spacing w:line="360" w:lineRule="auto"/>
        <w:jc w:val="center"/>
        <w:rPr>
          <w:b/>
          <w:u w:val="thick"/>
        </w:rPr>
      </w:pPr>
    </w:p>
    <w:p w:rsidR="00D07BE6" w:rsidRDefault="00D07BE6" w:rsidP="00D07BE6">
      <w:pPr>
        <w:spacing w:line="360" w:lineRule="auto"/>
        <w:jc w:val="center"/>
        <w:rPr>
          <w:b/>
          <w:u w:val="thick"/>
        </w:rPr>
      </w:pPr>
    </w:p>
    <w:p w:rsidR="00D07BE6" w:rsidRDefault="00D07BE6" w:rsidP="00D07BE6">
      <w:pPr>
        <w:spacing w:line="360" w:lineRule="auto"/>
        <w:jc w:val="center"/>
        <w:rPr>
          <w:b/>
          <w:u w:val="thick"/>
        </w:rPr>
      </w:pPr>
      <w:r>
        <w:rPr>
          <w:b/>
          <w:u w:val="thick"/>
        </w:rPr>
        <w:t>Ouverture</w:t>
      </w:r>
    </w:p>
    <w:p w:rsidR="00D07BE6" w:rsidRDefault="00D07BE6" w:rsidP="00D07BE6">
      <w:pPr>
        <w:spacing w:line="360" w:lineRule="auto"/>
        <w:ind w:firstLine="708"/>
        <w:jc w:val="both"/>
      </w:pPr>
    </w:p>
    <w:p w:rsidR="00D07BE6" w:rsidRDefault="00D07BE6" w:rsidP="009B2B0A">
      <w:pPr>
        <w:spacing w:line="360" w:lineRule="auto"/>
        <w:jc w:val="both"/>
      </w:pPr>
      <w:r>
        <w:t>C’est dans le but de renforcer la capacité des juges et des procureurs dans la gestion des procédures criminelles que le Centre de formation Judiciaire a organisé ce jour, dans le ressort de la Cour d’Appel de Thiès, un séminaire avec comme cible les juges des chambres criminelles (instance comme appel), les magistrats du parquet, les juges d’instruction, les avocats et les greffiers.</w:t>
      </w:r>
    </w:p>
    <w:p w:rsidR="00D07BE6" w:rsidRDefault="00D07BE6" w:rsidP="00D07BE6">
      <w:pPr>
        <w:spacing w:line="360" w:lineRule="auto"/>
        <w:ind w:firstLine="708"/>
        <w:jc w:val="both"/>
      </w:pPr>
    </w:p>
    <w:p w:rsidR="00D07BE6" w:rsidRDefault="00D07BE6" w:rsidP="009B2B0A">
      <w:pPr>
        <w:spacing w:line="360" w:lineRule="auto"/>
        <w:jc w:val="both"/>
      </w:pPr>
      <w:r>
        <w:t xml:space="preserve">Les travaux ont débuté à 10 heures 14 minutes par un mot de bienvenue du Premier Président de la Cour d’Appel de Thiès, </w:t>
      </w:r>
      <w:r>
        <w:rPr>
          <w:b/>
        </w:rPr>
        <w:t>Henri Grégoire DIOP</w:t>
      </w:r>
      <w:r>
        <w:t xml:space="preserve">, </w:t>
      </w:r>
      <w:r>
        <w:rPr>
          <w:b/>
        </w:rPr>
        <w:t>modérateur</w:t>
      </w:r>
      <w:r>
        <w:t>, qui a fait lecture du programme de la journée et donné aussitôt la parole au Directeur Adjoint du Centre de Formation Judicaire.</w:t>
      </w:r>
    </w:p>
    <w:p w:rsidR="00D07BE6" w:rsidRDefault="00D07BE6" w:rsidP="00D07BE6">
      <w:pPr>
        <w:spacing w:line="360" w:lineRule="auto"/>
        <w:ind w:firstLine="708"/>
        <w:jc w:val="both"/>
      </w:pPr>
    </w:p>
    <w:p w:rsidR="00D07BE6" w:rsidRDefault="00D07BE6" w:rsidP="009B2B0A">
      <w:pPr>
        <w:spacing w:line="360" w:lineRule="auto"/>
        <w:jc w:val="both"/>
      </w:pPr>
      <w:r>
        <w:t xml:space="preserve">Dans son allocution, </w:t>
      </w:r>
      <w:r>
        <w:rPr>
          <w:b/>
        </w:rPr>
        <w:t xml:space="preserve">M. </w:t>
      </w:r>
      <w:proofErr w:type="spellStart"/>
      <w:r>
        <w:rPr>
          <w:b/>
        </w:rPr>
        <w:t>Madiéna</w:t>
      </w:r>
      <w:proofErr w:type="spellEnd"/>
      <w:r>
        <w:rPr>
          <w:b/>
        </w:rPr>
        <w:t xml:space="preserve"> </w:t>
      </w:r>
      <w:proofErr w:type="spellStart"/>
      <w:r>
        <w:rPr>
          <w:b/>
        </w:rPr>
        <w:t>Bakhoum</w:t>
      </w:r>
      <w:proofErr w:type="spellEnd"/>
      <w:r>
        <w:rPr>
          <w:b/>
        </w:rPr>
        <w:t xml:space="preserve"> DIALLO</w:t>
      </w:r>
      <w:r>
        <w:t xml:space="preserve">, </w:t>
      </w:r>
      <w:r>
        <w:rPr>
          <w:b/>
        </w:rPr>
        <w:t>Directeur Adjoint du Centre de Formation Judiciaire</w:t>
      </w:r>
      <w:r>
        <w:t xml:space="preserve">, après avoir présenté les excuses du Directeur, empêché, a adressé ses remerciements aux collègues qui ont répondu massivement à l’appel. Dans son propos, il a fait le constat de la disparité dans la jurisprudence des chambres criminelles et sur la </w:t>
      </w:r>
      <w:r>
        <w:lastRenderedPageBreak/>
        <w:t>nécessité d’avoir une justice prévisible, d’où la nécessité d’harmoniser les positions des différentes juridictions au plan national.</w:t>
      </w:r>
    </w:p>
    <w:p w:rsidR="00D07BE6" w:rsidRDefault="00D07BE6" w:rsidP="009B2B0A">
      <w:pPr>
        <w:spacing w:line="360" w:lineRule="auto"/>
        <w:jc w:val="both"/>
      </w:pPr>
      <w:r>
        <w:t xml:space="preserve">A la suite de M. le Directeur Adjoint du Centre de Formation Judiciaire, la parole a été donnée à </w:t>
      </w:r>
      <w:r>
        <w:rPr>
          <w:b/>
        </w:rPr>
        <w:t>M. Cheikh Tidiane DIALLO</w:t>
      </w:r>
      <w:r>
        <w:t xml:space="preserve">, </w:t>
      </w:r>
      <w:r>
        <w:rPr>
          <w:b/>
        </w:rPr>
        <w:t>Procureur Général de la Cour d’Appel de Thiès</w:t>
      </w:r>
      <w:r>
        <w:t xml:space="preserve">. Dans son discours il est revenu sur le contexte dans lequel les chambres criminelles ont été créées et dressé un état des lieux après la réforme. Il a mis l’accent sur les nombreux cas d’annulation de procédures. Ce faisant, il a invité les différents acteurs en particulier les juges d’instruction à faire davantage preuve de minutie dans le traitement des affaires. Il a salué, encouragé et jugé excellente l’initiative du Centre de Formation Judicaire. Il  a enfin déclaré attendre avec impatience les conclusions de la journée. </w:t>
      </w:r>
    </w:p>
    <w:p w:rsidR="00D07BE6" w:rsidRDefault="00D07BE6" w:rsidP="00D07BE6">
      <w:pPr>
        <w:spacing w:line="360" w:lineRule="auto"/>
        <w:ind w:firstLine="708"/>
        <w:jc w:val="both"/>
      </w:pPr>
    </w:p>
    <w:p w:rsidR="00D07BE6" w:rsidRDefault="00D07BE6" w:rsidP="009B2B0A">
      <w:pPr>
        <w:spacing w:line="360" w:lineRule="auto"/>
        <w:jc w:val="both"/>
      </w:pPr>
      <w:r>
        <w:t>Sur ce, l’atelier a été déclaré ouverte par le Premier Président Henri Grégoire DIOP. La parole a ensuite été donnée aux présentateurs du jour.</w:t>
      </w:r>
    </w:p>
    <w:p w:rsidR="00D07BE6" w:rsidRDefault="00D07BE6" w:rsidP="00D07BE6">
      <w:pPr>
        <w:spacing w:line="360" w:lineRule="auto"/>
        <w:jc w:val="center"/>
        <w:rPr>
          <w:b/>
        </w:rPr>
      </w:pPr>
    </w:p>
    <w:p w:rsidR="00D07BE6" w:rsidRDefault="00D07BE6" w:rsidP="00AA255B">
      <w:pPr>
        <w:spacing w:line="360" w:lineRule="auto"/>
        <w:ind w:left="2832"/>
        <w:jc w:val="center"/>
      </w:pPr>
      <w:r>
        <w:rPr>
          <w:b/>
        </w:rPr>
        <w:t>Première Présentation </w:t>
      </w:r>
      <w:r>
        <w:t>: Les nullités de l’instruction</w:t>
      </w:r>
    </w:p>
    <w:p w:rsidR="00D07BE6" w:rsidRDefault="00D07BE6" w:rsidP="00AA255B">
      <w:pPr>
        <w:spacing w:line="360" w:lineRule="auto"/>
        <w:ind w:left="2832"/>
        <w:jc w:val="center"/>
        <w:rPr>
          <w:b/>
        </w:rPr>
      </w:pPr>
      <w:r>
        <w:rPr>
          <w:b/>
        </w:rPr>
        <w:t>Par M. Papa Amadou SOW</w:t>
      </w:r>
    </w:p>
    <w:p w:rsidR="00D07BE6" w:rsidRDefault="00D07BE6" w:rsidP="00AA255B">
      <w:pPr>
        <w:spacing w:line="360" w:lineRule="auto"/>
        <w:ind w:left="2832"/>
        <w:jc w:val="center"/>
      </w:pPr>
      <w:r>
        <w:t>Président de chambre à la Cour d’Appel de Thiès</w:t>
      </w:r>
    </w:p>
    <w:p w:rsidR="00D07BE6" w:rsidRDefault="00D07BE6" w:rsidP="00D07BE6">
      <w:pPr>
        <w:spacing w:line="360" w:lineRule="auto"/>
        <w:jc w:val="center"/>
      </w:pPr>
    </w:p>
    <w:p w:rsidR="00D07BE6" w:rsidRDefault="00D07BE6" w:rsidP="00AA255B">
      <w:pPr>
        <w:spacing w:line="360" w:lineRule="auto"/>
        <w:jc w:val="both"/>
      </w:pPr>
      <w:r>
        <w:t>Dans son exposé, M. SOW, s’est appuyé sur quelques affaires traitées par la Chambre d’Accusation de Thiès. Partant de son expérience, il a fait le constat que la plupart des cas d’annulation sont fondées sur les dispositions de l’article 101. Après avoir fait lecture desdites dispositions. Il a rappelé ses exigences :</w:t>
      </w:r>
    </w:p>
    <w:p w:rsidR="00D07BE6" w:rsidRDefault="00D07BE6" w:rsidP="00D07BE6">
      <w:pPr>
        <w:spacing w:line="360" w:lineRule="auto"/>
        <w:ind w:firstLine="360"/>
        <w:jc w:val="both"/>
      </w:pPr>
    </w:p>
    <w:p w:rsidR="00D07BE6" w:rsidRDefault="00D07BE6" w:rsidP="00D07BE6">
      <w:pPr>
        <w:pStyle w:val="Paragraphedeliste"/>
        <w:numPr>
          <w:ilvl w:val="0"/>
          <w:numId w:val="1"/>
        </w:numPr>
        <w:spacing w:line="360" w:lineRule="auto"/>
        <w:jc w:val="both"/>
      </w:pPr>
      <w:r>
        <w:t>le respect du délai légal d’attente de vingt-quatre heures ;</w:t>
      </w:r>
    </w:p>
    <w:p w:rsidR="00D07BE6" w:rsidRDefault="00D07BE6" w:rsidP="00D07BE6">
      <w:pPr>
        <w:pStyle w:val="Paragraphedeliste"/>
        <w:numPr>
          <w:ilvl w:val="0"/>
          <w:numId w:val="1"/>
        </w:numPr>
        <w:spacing w:line="360" w:lineRule="auto"/>
        <w:jc w:val="both"/>
      </w:pPr>
      <w:r>
        <w:t xml:space="preserve"> la mention de l’avis au conseil sur le procès-verbal d’interrogatoire de première comparution ;</w:t>
      </w:r>
    </w:p>
    <w:p w:rsidR="00D07BE6" w:rsidRDefault="00D07BE6" w:rsidP="00D07BE6">
      <w:pPr>
        <w:pStyle w:val="Paragraphedeliste"/>
        <w:numPr>
          <w:ilvl w:val="0"/>
          <w:numId w:val="1"/>
        </w:numPr>
        <w:spacing w:line="360" w:lineRule="auto"/>
        <w:jc w:val="both"/>
      </w:pPr>
      <w:r>
        <w:t>la commission d’avocat.</w:t>
      </w:r>
    </w:p>
    <w:p w:rsidR="00D07BE6" w:rsidRDefault="00D07BE6" w:rsidP="00AA255B">
      <w:pPr>
        <w:spacing w:line="360" w:lineRule="auto"/>
        <w:jc w:val="both"/>
      </w:pPr>
      <w:r>
        <w:t>Dans la foulée, il a relevé le vide juridique sur le sort du mis en cause durant la phase d’attente.</w:t>
      </w:r>
    </w:p>
    <w:p w:rsidR="00D07BE6" w:rsidRDefault="00D07BE6" w:rsidP="00D07BE6">
      <w:pPr>
        <w:spacing w:line="360" w:lineRule="auto"/>
        <w:ind w:firstLine="360"/>
        <w:jc w:val="both"/>
      </w:pPr>
    </w:p>
    <w:p w:rsidR="00D07BE6" w:rsidRDefault="00D07BE6" w:rsidP="00AA255B">
      <w:pPr>
        <w:spacing w:line="360" w:lineRule="auto"/>
        <w:jc w:val="both"/>
      </w:pPr>
      <w:r>
        <w:t>Sur les dispositions de l’article 55 du Code de Procédure Pénale, il a fait observer n’avoir jamais rencontré des cas d’annulation sur le fondement de ce texte.</w:t>
      </w:r>
    </w:p>
    <w:p w:rsidR="00D07BE6" w:rsidRDefault="00D07BE6" w:rsidP="00D07BE6">
      <w:pPr>
        <w:spacing w:line="360" w:lineRule="auto"/>
        <w:jc w:val="both"/>
      </w:pPr>
      <w:r>
        <w:lastRenderedPageBreak/>
        <w:t>Il a aussi rappelé l’exception posée à l’article 102 du Code de Procédure Pénale. A ce niveau, il a recommandé la caractérisation de l’urgence et sa mention sur le procès-verbal.</w:t>
      </w:r>
    </w:p>
    <w:p w:rsidR="00D07BE6" w:rsidRDefault="00D07BE6" w:rsidP="00D07BE6">
      <w:pPr>
        <w:spacing w:line="360" w:lineRule="auto"/>
        <w:jc w:val="both"/>
      </w:pPr>
      <w:r>
        <w:t xml:space="preserve">Il a par ailleurs évoqué l’hypothèse d’un renvoi par un arrêt de la chambre d’accusation et les divergences notées dans la compréhension des dispositions de l’article 557 </w:t>
      </w:r>
      <w:proofErr w:type="gramStart"/>
      <w:r>
        <w:t>tout</w:t>
      </w:r>
      <w:proofErr w:type="gramEnd"/>
      <w:r>
        <w:t xml:space="preserve"> en invitant les participants à débattre sur cette question. </w:t>
      </w:r>
    </w:p>
    <w:p w:rsidR="00D07BE6" w:rsidRDefault="00D07BE6" w:rsidP="00D07BE6">
      <w:pPr>
        <w:spacing w:line="360" w:lineRule="auto"/>
        <w:jc w:val="both"/>
      </w:pPr>
    </w:p>
    <w:p w:rsidR="00D07BE6" w:rsidRDefault="00D07BE6" w:rsidP="00AA255B">
      <w:pPr>
        <w:spacing w:line="360" w:lineRule="auto"/>
        <w:ind w:left="3540"/>
        <w:jc w:val="center"/>
      </w:pPr>
      <w:r>
        <w:rPr>
          <w:b/>
        </w:rPr>
        <w:t>Deuxième présentation</w:t>
      </w:r>
      <w:r>
        <w:t xml:space="preserve"> : </w:t>
      </w:r>
      <w:r>
        <w:rPr>
          <w:b/>
          <w:u w:val="single"/>
        </w:rPr>
        <w:t>Les nullités de procédure</w:t>
      </w:r>
    </w:p>
    <w:p w:rsidR="00D07BE6" w:rsidRDefault="00D07BE6" w:rsidP="00AA255B">
      <w:pPr>
        <w:spacing w:line="360" w:lineRule="auto"/>
        <w:ind w:left="3540"/>
        <w:jc w:val="center"/>
        <w:rPr>
          <w:b/>
        </w:rPr>
      </w:pPr>
      <w:r>
        <w:rPr>
          <w:b/>
        </w:rPr>
        <w:t>Par Docteur Cheikh DIAKHOUMPA</w:t>
      </w:r>
    </w:p>
    <w:p w:rsidR="00D07BE6" w:rsidRDefault="00D07BE6" w:rsidP="00AA255B">
      <w:pPr>
        <w:spacing w:line="360" w:lineRule="auto"/>
        <w:ind w:left="3540"/>
        <w:jc w:val="center"/>
      </w:pPr>
      <w:r>
        <w:t>Substitut Général à la Cour d’Appel de Dakar</w:t>
      </w:r>
    </w:p>
    <w:p w:rsidR="00D07BE6" w:rsidRDefault="00D07BE6" w:rsidP="00D07BE6">
      <w:pPr>
        <w:spacing w:line="360" w:lineRule="auto"/>
        <w:jc w:val="center"/>
      </w:pPr>
    </w:p>
    <w:p w:rsidR="00D07BE6" w:rsidRDefault="00D07BE6" w:rsidP="00AA255B">
      <w:pPr>
        <w:spacing w:line="360" w:lineRule="auto"/>
        <w:jc w:val="both"/>
      </w:pPr>
      <w:r>
        <w:t>Dans son exposé, Docteur DIAKHOUMPA est revenu sur l’esprit des nullités et l’importance de la forme dans la procédure pénale en faisant le parallèle avec les systèmes de négation des formalismes qui ne conçoivent pas la nullité pour irrégularités formelles. Il a fait la distinction entre les nullités substantielles prévues à l’article 166, et qui ont trait notamment aux droits de la défense et à la violation des dispositions d’ordre public, et les nullités textuelles prévues à l’article 164 du Code de Procédure Pénale.</w:t>
      </w:r>
    </w:p>
    <w:p w:rsidR="00D07BE6" w:rsidRDefault="00D07BE6" w:rsidP="00AA255B">
      <w:pPr>
        <w:spacing w:line="360" w:lineRule="auto"/>
        <w:jc w:val="both"/>
      </w:pPr>
      <w:r>
        <w:t>Il a précisé que la Cour Suprême est déchargée de ce contentieux par les dispositions de l’article 69 de la loi organique sur la Cour Suprême.</w:t>
      </w:r>
    </w:p>
    <w:p w:rsidR="00D07BE6" w:rsidRDefault="00D07BE6" w:rsidP="00D07BE6">
      <w:pPr>
        <w:spacing w:line="360" w:lineRule="auto"/>
        <w:jc w:val="both"/>
      </w:pPr>
      <w:r>
        <w:t xml:space="preserve">S’agissant des nullités textuelles, il a rappelé le principe de l’automaticité de la sanction qui n’accorde aucun pouvoir d’appréciation au juge. C’est à tort, certainement </w:t>
      </w:r>
      <w:proofErr w:type="gramStart"/>
      <w:r>
        <w:t>inspirés</w:t>
      </w:r>
      <w:proofErr w:type="gramEnd"/>
      <w:r>
        <w:t xml:space="preserve"> par la jurisprudence française, que certaines juridictions ont pu apprécier ces cas de nullités. Les textes français et sénégalais étant divergents à ce propos.</w:t>
      </w:r>
    </w:p>
    <w:p w:rsidR="00D07BE6" w:rsidRDefault="00D07BE6" w:rsidP="00AA255B">
      <w:pPr>
        <w:spacing w:line="360" w:lineRule="auto"/>
        <w:jc w:val="both"/>
      </w:pPr>
      <w:r>
        <w:t xml:space="preserve">S’agissant des causes de nullités survenues au cours de l’enquête il a relevé que le juge sénégalais est toujours réticent à annuler pour irrégularités constatées au cours de la phase de garde à vue. Une jurisprudence de la Cour d’Appel de Dakar va dans le même sens estimant que dans de telles hypothèses seules des poursuites disciplinaires devraient être envisagées. Mais il n’existe pas une position harmonisée.  </w:t>
      </w:r>
    </w:p>
    <w:p w:rsidR="00D07BE6" w:rsidRDefault="00D07BE6" w:rsidP="00AA255B">
      <w:pPr>
        <w:spacing w:line="360" w:lineRule="auto"/>
        <w:jc w:val="both"/>
      </w:pPr>
      <w:r>
        <w:t>Revenant sur les cas de nullités en instruction il a rappelé que même l’absence de mise à disposition du dossier au conseil peut entraîner la nullité.</w:t>
      </w:r>
    </w:p>
    <w:p w:rsidR="00D07BE6" w:rsidRDefault="00D07BE6" w:rsidP="00AA255B">
      <w:pPr>
        <w:spacing w:line="360" w:lineRule="auto"/>
        <w:jc w:val="both"/>
      </w:pPr>
      <w:r>
        <w:t>Sur la mise en œuvre de la nullité, il a dénoncé la possibilité de soulever les nullités au cours de l’audience de la chambre criminelle pour l’image de la justice.</w:t>
      </w:r>
    </w:p>
    <w:p w:rsidR="00D07BE6" w:rsidRDefault="00D07BE6" w:rsidP="00D07BE6">
      <w:pPr>
        <w:spacing w:line="360" w:lineRule="auto"/>
        <w:jc w:val="both"/>
      </w:pPr>
      <w:r>
        <w:lastRenderedPageBreak/>
        <w:t>Il a rappelé les conditions de la renonciation notamment la présence du conseil. Il a aussi fait ressortir une nuance entre la renonciation à une nullité substantielle et la renonciation à l’assistance d’un conseil.</w:t>
      </w:r>
    </w:p>
    <w:p w:rsidR="00D07BE6" w:rsidRDefault="00D07BE6" w:rsidP="00AA255B">
      <w:pPr>
        <w:spacing w:line="360" w:lineRule="auto"/>
        <w:jc w:val="both"/>
      </w:pPr>
      <w:r>
        <w:t xml:space="preserve">Relativement à la réfaction des actes viciés, il affirmé que le seul cas est prévu à l’article 147 du Code de Procédure Pénale concernant l’exécution des délégations judiciaires. Pour illustrer son propos, il a évoqué la jurisprudence </w:t>
      </w:r>
      <w:proofErr w:type="spellStart"/>
      <w:r>
        <w:t>Nd</w:t>
      </w:r>
      <w:r w:rsidR="009227AC">
        <w:t>è</w:t>
      </w:r>
      <w:r>
        <w:t>ye</w:t>
      </w:r>
      <w:proofErr w:type="spellEnd"/>
      <w:r>
        <w:t xml:space="preserve"> DIOP dans laquelle le juge d’instruction avait, à tort, supprimé un mandat déjà émis pour lui en substituer une autre.</w:t>
      </w:r>
    </w:p>
    <w:p w:rsidR="00D07BE6" w:rsidRDefault="00D07BE6" w:rsidP="00AA255B">
      <w:pPr>
        <w:spacing w:line="360" w:lineRule="auto"/>
        <w:jc w:val="both"/>
      </w:pPr>
      <w:r>
        <w:t xml:space="preserve">Sur </w:t>
      </w:r>
      <w:proofErr w:type="gramStart"/>
      <w:r>
        <w:t>la</w:t>
      </w:r>
      <w:proofErr w:type="gramEnd"/>
      <w:r>
        <w:t xml:space="preserve"> possible purge des vices en cas d’appel contre une ordonnance de mise en accusation et de renvoi et de renvoi par un arrêt, il estime qu’au sens des dispositions combinées des articles 557 et 168 du Code de Procédure Pénale les nullités sont purgées.</w:t>
      </w:r>
    </w:p>
    <w:p w:rsidR="00D07BE6" w:rsidRDefault="00D07BE6" w:rsidP="00D07BE6">
      <w:pPr>
        <w:spacing w:line="360" w:lineRule="auto"/>
        <w:jc w:val="center"/>
      </w:pPr>
      <w:proofErr w:type="spellStart"/>
      <w:r>
        <w:rPr>
          <w:b/>
        </w:rPr>
        <w:t>Pause café</w:t>
      </w:r>
      <w:proofErr w:type="spellEnd"/>
      <w:r>
        <w:t xml:space="preserve"> : 10 heures 42 minutes </w:t>
      </w:r>
    </w:p>
    <w:p w:rsidR="00D07BE6" w:rsidRDefault="00D07BE6" w:rsidP="00D07BE6">
      <w:pPr>
        <w:spacing w:line="360" w:lineRule="auto"/>
        <w:jc w:val="center"/>
      </w:pPr>
    </w:p>
    <w:p w:rsidR="00D07BE6" w:rsidRDefault="00D07BE6" w:rsidP="00D07BE6">
      <w:pPr>
        <w:spacing w:line="360" w:lineRule="auto"/>
        <w:jc w:val="center"/>
      </w:pPr>
      <w:r>
        <w:rPr>
          <w:b/>
        </w:rPr>
        <w:t>Ouverture des débats</w:t>
      </w:r>
      <w:r>
        <w:t> : 11 heures 10 minutes</w:t>
      </w:r>
      <w:r w:rsidR="009227AC">
        <w:t xml:space="preserve"> </w:t>
      </w:r>
    </w:p>
    <w:p w:rsidR="00D07BE6" w:rsidRDefault="00D07BE6" w:rsidP="00D07BE6">
      <w:pPr>
        <w:spacing w:line="360" w:lineRule="auto"/>
      </w:pPr>
    </w:p>
    <w:p w:rsidR="00D07BE6" w:rsidRDefault="00D07BE6" w:rsidP="00AA255B">
      <w:pPr>
        <w:spacing w:line="360" w:lineRule="auto"/>
      </w:pPr>
      <w:r>
        <w:t xml:space="preserve">Au retour d’une </w:t>
      </w:r>
      <w:proofErr w:type="spellStart"/>
      <w:r>
        <w:t>pause café</w:t>
      </w:r>
      <w:proofErr w:type="spellEnd"/>
      <w:r>
        <w:t xml:space="preserve"> de quelques minutes  M. le Premier Président a ouvert les débats. Ensuite la parole a été distribuée dans l’ordre ci-après :</w:t>
      </w:r>
    </w:p>
    <w:p w:rsidR="00D07BE6" w:rsidRDefault="00D07BE6" w:rsidP="00D07BE6">
      <w:pPr>
        <w:spacing w:line="360" w:lineRule="auto"/>
        <w:ind w:firstLine="708"/>
      </w:pPr>
    </w:p>
    <w:p w:rsidR="00D07BE6" w:rsidRDefault="00D07BE6" w:rsidP="00D07BE6">
      <w:pPr>
        <w:spacing w:line="360" w:lineRule="auto"/>
        <w:jc w:val="both"/>
      </w:pPr>
      <w:r>
        <w:rPr>
          <w:b/>
        </w:rPr>
        <w:t>M. Djibril BA</w:t>
      </w:r>
      <w:r>
        <w:t xml:space="preserve">, avocat général à la C.A. de Thiès, après avoir félicité les exposant pour la qualité de leur présentation, est revenu sur son expérience des Cour d’Assises. Il a déploré l’absence de vérification de la part des juges d’instruction et des magistrats du parquet avant le règlement alors même que les textes des articles 101 et 105 du Code de Procédure Pénale sont parfaitement maîtrisés. Il a aussi relevé que la plupart des cas de nullités surviennent à l’occasion de l’enquête de police. Il a rappelé la possibilité de régulariser ces causes de nullité par la chambre d’accusation par le biais de la renonciation et les difficultés pratiques posées par la mise </w:t>
      </w:r>
      <w:proofErr w:type="gramStart"/>
      <w:r>
        <w:t>œuvre</w:t>
      </w:r>
      <w:proofErr w:type="gramEnd"/>
      <w:r>
        <w:t xml:space="preserve"> de cette procédure notamment pour faire comprendre à l’accusé son intérêt à renoncer à la nullité. Selon lui, l’inobservance de ces formalités s’explique par le fait que les juges n’y accordaient pas beaucoup d’attention du fait de la purge des nullités par l’arrêt de mise en accusation et de renvoi.  Il a enfin interpellé les juges d’instruction sur les difficultés pratiques auxquelles ils sont confrontés dans la mise en œuvre des dispositions des articles 101 à 105 du Code de Procédure Pénale. Sur la question posée par M. Papa Amadou SOW relativement à l’article 557 il a estimé que le renvoi par la chambre d’accusation ne purge pas les nullités.</w:t>
      </w:r>
    </w:p>
    <w:p w:rsidR="00D07BE6" w:rsidRDefault="00D07BE6" w:rsidP="00D07BE6">
      <w:pPr>
        <w:spacing w:line="360" w:lineRule="auto"/>
        <w:jc w:val="both"/>
      </w:pPr>
    </w:p>
    <w:p w:rsidR="00D07BE6" w:rsidRDefault="00D07BE6" w:rsidP="00D07BE6">
      <w:pPr>
        <w:spacing w:line="360" w:lineRule="auto"/>
        <w:jc w:val="both"/>
      </w:pPr>
      <w:r>
        <w:t xml:space="preserve">A sa suite, </w:t>
      </w:r>
      <w:r>
        <w:rPr>
          <w:b/>
        </w:rPr>
        <w:t>M. Mamadou DIOUF</w:t>
      </w:r>
      <w:r>
        <w:t xml:space="preserve">, Président du Tribunal Grande Instance de Thiès, a expliqué qu’au niveau de sa juridiction, pour éviter l’inflation des annulations, ils avaient pris sur eux de n’annuler que </w:t>
      </w:r>
      <w:r>
        <w:rPr>
          <w:i/>
        </w:rPr>
        <w:t>« quand ils n’avaient pas le choix »</w:t>
      </w:r>
      <w:r>
        <w:t>.  Il a préconisé de faire annuler dès la phase de l’instruction les actes irréguliers avant la clôture comme palliatif pour éviter les conséquences dommageables aussi bien à l’inculpé qu’à la partie civile. De son point de vue, la persistance dans les pratiques qui ont entraîné des annulations en cascade ne se justifie plus depuis 2016 du fait des nombreux débats sur la question.</w:t>
      </w:r>
    </w:p>
    <w:p w:rsidR="00D07BE6" w:rsidRDefault="00D07BE6" w:rsidP="00D07BE6">
      <w:pPr>
        <w:spacing w:line="360" w:lineRule="auto"/>
        <w:jc w:val="both"/>
      </w:pPr>
    </w:p>
    <w:p w:rsidR="00D07BE6" w:rsidRDefault="00D07BE6" w:rsidP="00D07BE6">
      <w:pPr>
        <w:spacing w:line="360" w:lineRule="auto"/>
        <w:jc w:val="both"/>
      </w:pPr>
      <w:r>
        <w:t xml:space="preserve">M. </w:t>
      </w:r>
      <w:r>
        <w:rPr>
          <w:b/>
        </w:rPr>
        <w:t>Mbaye POUYE</w:t>
      </w:r>
      <w:r>
        <w:t xml:space="preserve">, Président du Tribunal de Grande Instance de Diourbel, dans son intervention a relevé que la possibilité offerte à la Chambre Criminelle de prononcer la nullité des actes d’instruction exclut toute purge par l’arrêt de la Chambre d’accusation. Il a affirmé que la nullité est de son point de vue toujours </w:t>
      </w:r>
      <w:proofErr w:type="gramStart"/>
      <w:r>
        <w:t>textuelle</w:t>
      </w:r>
      <w:proofErr w:type="gramEnd"/>
      <w:r>
        <w:t xml:space="preserve"> dès lors que les nullités dites substantielles sont elles-mêmes prévues par des textes. Dans cette logique il a sollicité les éclairages du Docteur DIAKHOUMPA sur la distinction entre nullités textuelles et nullités substantielles. Il a aussi émis des réserves par rapport à la renonciation faite devant la chambre d’accusation qu’il a </w:t>
      </w:r>
      <w:proofErr w:type="gramStart"/>
      <w:r>
        <w:t>jugé</w:t>
      </w:r>
      <w:proofErr w:type="gramEnd"/>
      <w:r>
        <w:t xml:space="preserve"> un peu tardive.</w:t>
      </w:r>
    </w:p>
    <w:p w:rsidR="00D07BE6" w:rsidRDefault="00D07BE6" w:rsidP="00D07BE6">
      <w:pPr>
        <w:spacing w:line="360" w:lineRule="auto"/>
        <w:jc w:val="both"/>
      </w:pPr>
    </w:p>
    <w:p w:rsidR="00D07BE6" w:rsidRDefault="00D07BE6" w:rsidP="00D07BE6">
      <w:pPr>
        <w:spacing w:line="360" w:lineRule="auto"/>
        <w:jc w:val="both"/>
      </w:pPr>
      <w:r>
        <w:rPr>
          <w:b/>
        </w:rPr>
        <w:t xml:space="preserve">M. le Procureur Thierno </w:t>
      </w:r>
      <w:proofErr w:type="spellStart"/>
      <w:r>
        <w:rPr>
          <w:b/>
        </w:rPr>
        <w:t>Demba</w:t>
      </w:r>
      <w:proofErr w:type="spellEnd"/>
      <w:r>
        <w:rPr>
          <w:b/>
        </w:rPr>
        <w:t xml:space="preserve"> SOW,</w:t>
      </w:r>
      <w:r>
        <w:t xml:space="preserve"> sur l’interpellation de l’avocat général M. Djibril BA faite aux juges d’instruction et aux procureurs, donnant l’exemple de la France, a explicité deux des principes fondamentaux qui gouvernent le procès pénal à savoir : la loyauté et le respect du droit de la défense. Dans ce sens, il a fait observer qu’en France l’ordonnance du juge d’instruction purge les nullités. Le fait pour l’avocat de soulever cette nullité à l’audience alors qu’il avait la possibilité de le faire depuis l’instruction apparaissant comme étant déloyal. Il a enfin soutenu que cet état de fait ne  doit pas dédouaner les juges d’instruction et les magistrats du parquet.</w:t>
      </w:r>
    </w:p>
    <w:p w:rsidR="00D07BE6" w:rsidRDefault="00D07BE6" w:rsidP="00D07BE6">
      <w:pPr>
        <w:spacing w:line="360" w:lineRule="auto"/>
        <w:jc w:val="both"/>
      </w:pPr>
    </w:p>
    <w:p w:rsidR="00D07BE6" w:rsidRDefault="00D07BE6" w:rsidP="00D07BE6">
      <w:pPr>
        <w:spacing w:line="360" w:lineRule="auto"/>
        <w:jc w:val="both"/>
      </w:pPr>
      <w:r>
        <w:rPr>
          <w:b/>
        </w:rPr>
        <w:t xml:space="preserve">M. </w:t>
      </w:r>
      <w:proofErr w:type="spellStart"/>
      <w:r>
        <w:rPr>
          <w:b/>
        </w:rPr>
        <w:t>Serigne</w:t>
      </w:r>
      <w:proofErr w:type="spellEnd"/>
      <w:r>
        <w:rPr>
          <w:b/>
        </w:rPr>
        <w:t xml:space="preserve"> </w:t>
      </w:r>
      <w:proofErr w:type="spellStart"/>
      <w:r>
        <w:rPr>
          <w:b/>
        </w:rPr>
        <w:t>Modou</w:t>
      </w:r>
      <w:proofErr w:type="spellEnd"/>
      <w:r>
        <w:rPr>
          <w:b/>
        </w:rPr>
        <w:t xml:space="preserve"> DIAKHATE</w:t>
      </w:r>
      <w:r>
        <w:t xml:space="preserve">, président de la Chambre d’Accusation de Thiès, a réitéré les interpellations faites aux juges d’instruction. Sur la possibilité pour la Chambre d’Accusation de recevoir la renonciation, il a estimé que les articles 164 et 166 lui donnent clairement cette prérogative. Au terme de son intervention, il a préconisé de s’inspirer du droit français en réformant nos textes dans le sens indiqué par le Procureur Thierno </w:t>
      </w:r>
      <w:proofErr w:type="spellStart"/>
      <w:r>
        <w:t>Demba</w:t>
      </w:r>
      <w:proofErr w:type="spellEnd"/>
      <w:r>
        <w:t xml:space="preserve"> SOW.</w:t>
      </w:r>
    </w:p>
    <w:p w:rsidR="00D07BE6" w:rsidRDefault="00D07BE6" w:rsidP="00D07BE6">
      <w:pPr>
        <w:spacing w:line="360" w:lineRule="auto"/>
        <w:jc w:val="both"/>
      </w:pPr>
    </w:p>
    <w:p w:rsidR="00D07BE6" w:rsidRDefault="00D07BE6" w:rsidP="00D07BE6">
      <w:pPr>
        <w:spacing w:line="360" w:lineRule="auto"/>
        <w:jc w:val="both"/>
      </w:pPr>
      <w:r>
        <w:t xml:space="preserve">M. </w:t>
      </w:r>
      <w:r>
        <w:rPr>
          <w:b/>
        </w:rPr>
        <w:t xml:space="preserve">Papa </w:t>
      </w:r>
      <w:proofErr w:type="spellStart"/>
      <w:r>
        <w:rPr>
          <w:b/>
        </w:rPr>
        <w:t>Malick</w:t>
      </w:r>
      <w:proofErr w:type="spellEnd"/>
      <w:r>
        <w:rPr>
          <w:b/>
        </w:rPr>
        <w:t xml:space="preserve"> SANOKHO</w:t>
      </w:r>
      <w:r>
        <w:t>, dans son intervention a mis l’accent sur les conditions matérielles de travail des juges d’instruction. Il a relevé les difficultés à accéder aux avocats dans certaines régions et la surcharge de travail dans certains cabinets.</w:t>
      </w:r>
    </w:p>
    <w:p w:rsidR="00D07BE6" w:rsidRDefault="00D07BE6" w:rsidP="00D07BE6">
      <w:pPr>
        <w:spacing w:line="360" w:lineRule="auto"/>
        <w:jc w:val="both"/>
        <w:rPr>
          <w:b/>
        </w:rPr>
      </w:pPr>
    </w:p>
    <w:p w:rsidR="00D07BE6" w:rsidRDefault="00D07BE6" w:rsidP="00D07BE6">
      <w:pPr>
        <w:spacing w:line="360" w:lineRule="auto"/>
        <w:jc w:val="both"/>
      </w:pPr>
      <w:r>
        <w:rPr>
          <w:b/>
        </w:rPr>
        <w:t xml:space="preserve">M. </w:t>
      </w:r>
      <w:proofErr w:type="spellStart"/>
      <w:r>
        <w:rPr>
          <w:b/>
        </w:rPr>
        <w:t>Gana</w:t>
      </w:r>
      <w:proofErr w:type="spellEnd"/>
      <w:r>
        <w:rPr>
          <w:b/>
        </w:rPr>
        <w:t xml:space="preserve"> GUEYE</w:t>
      </w:r>
      <w:r>
        <w:t>, juge d’instruction en charge du 1</w:t>
      </w:r>
      <w:r>
        <w:rPr>
          <w:vertAlign w:val="superscript"/>
        </w:rPr>
        <w:t>er</w:t>
      </w:r>
      <w:r>
        <w:t xml:space="preserve"> Cabinet du Tribunal de Grande Instance de Thiès, est aussi allé dans le même sens. Il a ainsi évoqué :</w:t>
      </w:r>
    </w:p>
    <w:p w:rsidR="00D07BE6" w:rsidRDefault="00D07BE6" w:rsidP="00D07BE6">
      <w:pPr>
        <w:spacing w:line="360" w:lineRule="auto"/>
        <w:jc w:val="both"/>
      </w:pPr>
      <w:r>
        <w:t>- les difficultés à toucher les avocats ;</w:t>
      </w:r>
    </w:p>
    <w:p w:rsidR="00D07BE6" w:rsidRDefault="00D07BE6" w:rsidP="00D07BE6">
      <w:pPr>
        <w:spacing w:line="360" w:lineRule="auto"/>
        <w:jc w:val="both"/>
      </w:pPr>
      <w:r>
        <w:t>- les compréhensions divergentes des dispositions de l’article 101.</w:t>
      </w:r>
    </w:p>
    <w:p w:rsidR="00D07BE6" w:rsidRDefault="00D07BE6" w:rsidP="00D07BE6">
      <w:pPr>
        <w:spacing w:line="360" w:lineRule="auto"/>
        <w:jc w:val="both"/>
      </w:pPr>
      <w:r>
        <w:t>Selon lui le délai d’attente de 24 heures est un droit qui appartient au conseil et non à l’inculpé. Il a proposé la mise en place par l’ordre des avocats d’une permanence en vue des commissions d’office.</w:t>
      </w:r>
    </w:p>
    <w:p w:rsidR="00D07BE6" w:rsidRDefault="00D07BE6" w:rsidP="00D07BE6">
      <w:pPr>
        <w:spacing w:line="360" w:lineRule="auto"/>
        <w:jc w:val="both"/>
      </w:pPr>
    </w:p>
    <w:p w:rsidR="00D07BE6" w:rsidRDefault="00D07BE6" w:rsidP="00D07BE6">
      <w:pPr>
        <w:spacing w:line="360" w:lineRule="auto"/>
        <w:jc w:val="both"/>
      </w:pPr>
      <w:r>
        <w:rPr>
          <w:b/>
        </w:rPr>
        <w:t xml:space="preserve">M. </w:t>
      </w:r>
      <w:proofErr w:type="spellStart"/>
      <w:r>
        <w:rPr>
          <w:b/>
        </w:rPr>
        <w:t>Débé</w:t>
      </w:r>
      <w:proofErr w:type="spellEnd"/>
      <w:r>
        <w:rPr>
          <w:b/>
        </w:rPr>
        <w:t xml:space="preserve"> MBOH</w:t>
      </w:r>
      <w:r>
        <w:t>, Juge d’instruction en charge du premier cabinet du Tribunal de Grande Instance de Diourbel a embouché la même trompette en évoquant les difficultés à aviser les avocats et l’absence de collaboration du bureau de l’assistance judiciaire.</w:t>
      </w:r>
    </w:p>
    <w:p w:rsidR="00D07BE6" w:rsidRDefault="00D07BE6" w:rsidP="00D07BE6">
      <w:pPr>
        <w:spacing w:line="360" w:lineRule="auto"/>
        <w:jc w:val="both"/>
      </w:pPr>
      <w:r>
        <w:t>Il a partagé avec l’assistance  son expérience d’une procédure dans laquelle il avait constaté l’irrégularité du procès-verbal d’interrogatoire de première comparution au  cours de l’interrogatoire au fond. En présence de son conseil, il avait sensibilisé l’inculpé sur les conséquences de l’annulation dudit acte sur la procédure subséquente lequel a expressément renoncé à se prévaloir de la nullité et la mention a été portée au procès-verbal.</w:t>
      </w:r>
    </w:p>
    <w:p w:rsidR="00D07BE6" w:rsidRDefault="00D07BE6" w:rsidP="00D07BE6">
      <w:pPr>
        <w:spacing w:line="360" w:lineRule="auto"/>
        <w:jc w:val="both"/>
      </w:pPr>
      <w:r>
        <w:t xml:space="preserve">Sur les dossiers regorgeant de causes de nullité, il dit avoir convenu avec le Procureur de déférer devant la Chambre d’accusation toutes les affaires entachées d’irrégularités. </w:t>
      </w:r>
    </w:p>
    <w:p w:rsidR="00D07BE6" w:rsidRDefault="00D07BE6" w:rsidP="00D07BE6">
      <w:pPr>
        <w:spacing w:line="360" w:lineRule="auto"/>
        <w:jc w:val="both"/>
      </w:pPr>
    </w:p>
    <w:p w:rsidR="00D07BE6" w:rsidRDefault="00D07BE6" w:rsidP="00D07BE6">
      <w:pPr>
        <w:spacing w:line="360" w:lineRule="auto"/>
        <w:jc w:val="both"/>
      </w:pPr>
      <w:r>
        <w:rPr>
          <w:b/>
        </w:rPr>
        <w:t xml:space="preserve">M. Amadou </w:t>
      </w:r>
      <w:proofErr w:type="spellStart"/>
      <w:r>
        <w:rPr>
          <w:b/>
        </w:rPr>
        <w:t>Makhtar</w:t>
      </w:r>
      <w:proofErr w:type="spellEnd"/>
      <w:r>
        <w:rPr>
          <w:b/>
        </w:rPr>
        <w:t xml:space="preserve"> DIOP</w:t>
      </w:r>
      <w:r>
        <w:t>, greffier du 2</w:t>
      </w:r>
      <w:r>
        <w:rPr>
          <w:vertAlign w:val="superscript"/>
        </w:rPr>
        <w:t>ème</w:t>
      </w:r>
      <w:r>
        <w:t xml:space="preserve"> cabinet du Tribunal de Grande Instance de Diourbel, a déploré l’absence du barreau. Sur les dispositions de l’article 169, il estime qu’après communication du dossier, l’avocat a la possibilité d’intervenir mais ne le fait pas souvent. Il a enfin évoqué la question du greffier ad hoc et exigé une clarification de son statut.</w:t>
      </w:r>
    </w:p>
    <w:p w:rsidR="00D07BE6" w:rsidRDefault="00D07BE6" w:rsidP="00D07BE6">
      <w:pPr>
        <w:spacing w:line="360" w:lineRule="auto"/>
        <w:jc w:val="both"/>
      </w:pPr>
    </w:p>
    <w:p w:rsidR="00D07BE6" w:rsidRDefault="00D07BE6" w:rsidP="00D07BE6">
      <w:pPr>
        <w:spacing w:line="360" w:lineRule="auto"/>
        <w:jc w:val="both"/>
      </w:pPr>
      <w:r>
        <w:rPr>
          <w:b/>
        </w:rPr>
        <w:lastRenderedPageBreak/>
        <w:t>M. Alioune SARR</w:t>
      </w:r>
      <w:r>
        <w:t xml:space="preserve">, substitut général près la Cour d’Appel de Thiès, a mis l’accent dans son intervention sur le fait que l’annulation de la procédure ne soit pas toujours imputable au juge d’instruction. Parfois, </w:t>
      </w:r>
      <w:proofErr w:type="spellStart"/>
      <w:r>
        <w:t>a-t-il</w:t>
      </w:r>
      <w:proofErr w:type="spellEnd"/>
      <w:r>
        <w:t xml:space="preserve"> ajouté, elle peut être imputable au Officier de Police Judiciaire ou même aux magistrats du parquet. Il a illustré son  propos par le cas de la prolongation de la garde à vue sans la signature par le substitut de permanence sur le procès-verbal. Il a aussi déploré le fait que les réalités dans les juridictions de l’intérieur ne soient pas prises en compte par le législateur. Il estime que les articles 101 et 177 du Code de Procédure Pénale doivent être combinés sur la question de la forme de l’avis. Poursuivant, il estime que la pratique consistant à aviser le conseil par téléphone n’est pas conforme à ces deux textes. Il a relevé cependant les difficultés pratiques à rendre ces exigences effectives et aussi déploré l’absence de visa dans les décisions de l’article 168 du Code de Procédure Pénale pour fixer l’étendue de la nullité.</w:t>
      </w:r>
    </w:p>
    <w:p w:rsidR="00D07BE6" w:rsidRDefault="00D07BE6" w:rsidP="00D07BE6">
      <w:pPr>
        <w:spacing w:line="360" w:lineRule="auto"/>
        <w:jc w:val="both"/>
      </w:pPr>
      <w:r>
        <w:t>De son point de vue, plutôt que par une réforme des textes, la solution doit être attendue d’une harmonisation de la jurisprudence.</w:t>
      </w:r>
    </w:p>
    <w:p w:rsidR="00D07BE6" w:rsidRDefault="00D07BE6" w:rsidP="00D07BE6">
      <w:pPr>
        <w:spacing w:line="360" w:lineRule="auto"/>
        <w:jc w:val="both"/>
      </w:pPr>
    </w:p>
    <w:p w:rsidR="00D07BE6" w:rsidRDefault="00D07BE6" w:rsidP="00D07BE6">
      <w:pPr>
        <w:spacing w:line="360" w:lineRule="auto"/>
        <w:jc w:val="both"/>
      </w:pPr>
      <w:r>
        <w:rPr>
          <w:b/>
        </w:rPr>
        <w:t>Maître Cheikh Tidiane MBODJ</w:t>
      </w:r>
      <w:r>
        <w:t>, représentant du bâtonnier de l’ordre des avocats sur les interpellations faites au barreau, a relevé les difficultés rencontrées par l’assistance judiciaire notamment dans le recouvrement de leurs honoraires. Dans le même ordre d’idée, il a fait observer qu’il arrive souvent que l’avocat désigné par le juge d’instruction et qui suit la procédure depuis la première comparution ne soit pas désigné pour assurer la défense de l’accusé. Il a posé le problème des avis qui ne leurs parviennent pas souvent et la responsabilité du greffier d’instruction.</w:t>
      </w:r>
    </w:p>
    <w:p w:rsidR="00D07BE6" w:rsidRDefault="00D07BE6" w:rsidP="00D07BE6">
      <w:pPr>
        <w:spacing w:line="360" w:lineRule="auto"/>
        <w:jc w:val="both"/>
      </w:pPr>
      <w:r>
        <w:t xml:space="preserve">Sur le greffier ad hoc, M. le Premier Président, reprenant la parole a répondu à l’interpellation de Maître Amadou </w:t>
      </w:r>
      <w:proofErr w:type="spellStart"/>
      <w:r>
        <w:t>Makhtar</w:t>
      </w:r>
      <w:proofErr w:type="spellEnd"/>
      <w:r>
        <w:t xml:space="preserve"> DIOP en lui rappelant qu’il s’agit d’un pratique légale prévue par les dispositions de l’article 72 du Code de Procédure Pénale. Ensuite, il a fait l’exégèse de l’article 101 du Code de Procédure Pénale en mettant l’accent sur ses lacunes sur  notamment :</w:t>
      </w:r>
    </w:p>
    <w:p w:rsidR="00D07BE6" w:rsidRDefault="00D07BE6" w:rsidP="00D07BE6">
      <w:pPr>
        <w:spacing w:line="360" w:lineRule="auto"/>
        <w:jc w:val="both"/>
      </w:pPr>
      <w:r>
        <w:t>- l’absence de logique dans la chronologie d</w:t>
      </w:r>
      <w:r w:rsidR="009227AC">
        <w:t xml:space="preserve">es formalités de l’inculpation </w:t>
      </w:r>
      <w:r>
        <w:t>;</w:t>
      </w:r>
    </w:p>
    <w:p w:rsidR="00D07BE6" w:rsidRDefault="00D07BE6" w:rsidP="00D07BE6">
      <w:pPr>
        <w:spacing w:line="360" w:lineRule="auto"/>
        <w:jc w:val="both"/>
      </w:pPr>
      <w:r>
        <w:t>- le vide juridique par rapport au sort du mis en cause pendant la période d’attente.</w:t>
      </w:r>
    </w:p>
    <w:p w:rsidR="00D07BE6" w:rsidRDefault="00D07BE6" w:rsidP="00D07BE6">
      <w:pPr>
        <w:spacing w:line="360" w:lineRule="auto"/>
        <w:jc w:val="both"/>
      </w:pPr>
      <w:r>
        <w:t>Il affirmé que le juge est tenu par la loi et doit prononcer la nullité lorsqu’elle est avérée. Il a enfin invité les magistrats du parquet, les juges d’instructions et les avocats à faire annuler les actes viciés avant la phase de jugement.</w:t>
      </w:r>
    </w:p>
    <w:p w:rsidR="00D07BE6" w:rsidRDefault="00D07BE6" w:rsidP="00D07BE6">
      <w:pPr>
        <w:spacing w:line="360" w:lineRule="auto"/>
        <w:jc w:val="both"/>
      </w:pPr>
      <w:r>
        <w:lastRenderedPageBreak/>
        <w:t xml:space="preserve">Reprenant la parole, </w:t>
      </w:r>
      <w:r>
        <w:rPr>
          <w:b/>
        </w:rPr>
        <w:t>M. Mbaye POUYE</w:t>
      </w:r>
      <w:r>
        <w:t>, sur la forme de l’avis, a émis des réserves sur l’exigence posée par l’avocat Général Alioune SARR de combiner l’article 101 avec l’article 177 Code de Procédure Pénale qui ne concerne que la clôture de l’information de son point de vue.</w:t>
      </w:r>
    </w:p>
    <w:p w:rsidR="00D07BE6" w:rsidRDefault="00D07BE6" w:rsidP="00D07BE6">
      <w:pPr>
        <w:spacing w:line="360" w:lineRule="auto"/>
        <w:jc w:val="both"/>
      </w:pPr>
    </w:p>
    <w:p w:rsidR="00D07BE6" w:rsidRDefault="00D07BE6" w:rsidP="00D07BE6">
      <w:pPr>
        <w:spacing w:line="360" w:lineRule="auto"/>
        <w:jc w:val="both"/>
      </w:pPr>
      <w:r>
        <w:rPr>
          <w:b/>
        </w:rPr>
        <w:t xml:space="preserve">M. Oumar SALL, </w:t>
      </w:r>
      <w:r>
        <w:t xml:space="preserve"> a rappelé que le juge d’instruction ne doit pas être avare en précision. Il a donné l’exemple de sa pratique consistant à mettre la mention </w:t>
      </w:r>
      <w:r>
        <w:rPr>
          <w:b/>
          <w:i/>
        </w:rPr>
        <w:t>« suspendons l’instruction pour être reprise à… »</w:t>
      </w:r>
      <w:r>
        <w:t xml:space="preserve"> </w:t>
      </w:r>
      <w:proofErr w:type="gramStart"/>
      <w:r>
        <w:t>en</w:t>
      </w:r>
      <w:proofErr w:type="gramEnd"/>
      <w:r>
        <w:t xml:space="preserve"> cas d’attente. Il a enfin recommandé l’adoption d’un modèle de procès-verbal de première comparution pour éviter les irrégularités.</w:t>
      </w:r>
    </w:p>
    <w:p w:rsidR="00D07BE6" w:rsidRDefault="00D07BE6" w:rsidP="00D07BE6">
      <w:pPr>
        <w:spacing w:line="360" w:lineRule="auto"/>
        <w:jc w:val="both"/>
      </w:pPr>
      <w:r>
        <w:t xml:space="preserve">Reprenant la parole, </w:t>
      </w:r>
      <w:r>
        <w:rPr>
          <w:b/>
        </w:rPr>
        <w:t>M. Alioune SARR</w:t>
      </w:r>
      <w:r>
        <w:t xml:space="preserve"> a posé le problème de la preuve de la réception effective de l’avis par le conseil.</w:t>
      </w:r>
    </w:p>
    <w:p w:rsidR="00D07BE6" w:rsidRDefault="00D07BE6" w:rsidP="00D07BE6">
      <w:pPr>
        <w:spacing w:line="360" w:lineRule="auto"/>
        <w:jc w:val="both"/>
      </w:pPr>
    </w:p>
    <w:p w:rsidR="00D07BE6" w:rsidRDefault="00D07BE6" w:rsidP="00D07BE6">
      <w:pPr>
        <w:spacing w:line="360" w:lineRule="auto"/>
        <w:jc w:val="center"/>
        <w:rPr>
          <w:b/>
          <w:u w:val="thick"/>
        </w:rPr>
      </w:pPr>
      <w:r>
        <w:rPr>
          <w:b/>
          <w:u w:val="thick"/>
        </w:rPr>
        <w:t xml:space="preserve">Réponse </w:t>
      </w:r>
      <w:proofErr w:type="gramStart"/>
      <w:r>
        <w:rPr>
          <w:b/>
          <w:u w:val="thick"/>
        </w:rPr>
        <w:t>des exposant</w:t>
      </w:r>
      <w:proofErr w:type="gramEnd"/>
      <w:r>
        <w:rPr>
          <w:b/>
          <w:u w:val="thick"/>
        </w:rPr>
        <w:t>.</w:t>
      </w:r>
    </w:p>
    <w:p w:rsidR="00D07BE6" w:rsidRDefault="00D07BE6" w:rsidP="00D07BE6">
      <w:pPr>
        <w:spacing w:line="360" w:lineRule="auto"/>
        <w:jc w:val="center"/>
        <w:rPr>
          <w:b/>
          <w:u w:val="thick"/>
        </w:rPr>
      </w:pPr>
    </w:p>
    <w:p w:rsidR="00D07BE6" w:rsidRDefault="00D07BE6" w:rsidP="00D07BE6">
      <w:pPr>
        <w:spacing w:line="360" w:lineRule="auto"/>
        <w:jc w:val="both"/>
      </w:pPr>
      <w:r>
        <w:rPr>
          <w:b/>
        </w:rPr>
        <w:t>M. Cheikh DIAKHOUMPA</w:t>
      </w:r>
      <w:r>
        <w:t xml:space="preserve">. Sur l’interpellation de M. POUYE, sur les dispositions de l’article 557, estime que dès lors que le dossier passe entre les mains de la Chambre d’Accusation, tuteur des juges d’instruction, selon le professeur </w:t>
      </w:r>
      <w:proofErr w:type="spellStart"/>
      <w:r>
        <w:t>Ndiaw</w:t>
      </w:r>
      <w:proofErr w:type="spellEnd"/>
      <w:r>
        <w:t xml:space="preserve"> DIOUF, toutes les exceptions s’en trouvent purgées. Sur la distinction entre les nullités substantielles et textuelles il a rappelé les dispositions des articles 164 et 166 qui en sont la base légale.</w:t>
      </w:r>
    </w:p>
    <w:p w:rsidR="00D07BE6" w:rsidRDefault="00D07BE6" w:rsidP="00D07BE6">
      <w:pPr>
        <w:spacing w:line="360" w:lineRule="auto"/>
        <w:jc w:val="both"/>
      </w:pPr>
      <w:r>
        <w:t>Sur l’étendue de la nullité en cas d’annulation du procès-verbal d’enquête, il a jugé que cette nullité doit s’étendre sur toute la procédure subséquente. Il a précisé qu’enfin toutes irrégularités ne sont pas sanctionnées par la nullité. Il a donné l’exemple des formalités accessoires telles que le défaut d’avis d’ordonnance rendue.</w:t>
      </w:r>
    </w:p>
    <w:p w:rsidR="00D07BE6" w:rsidRDefault="00D07BE6" w:rsidP="00D07BE6">
      <w:pPr>
        <w:spacing w:line="360" w:lineRule="auto"/>
        <w:jc w:val="both"/>
      </w:pPr>
    </w:p>
    <w:p w:rsidR="00D07BE6" w:rsidRDefault="00D07BE6" w:rsidP="00D07BE6">
      <w:pPr>
        <w:spacing w:line="360" w:lineRule="auto"/>
        <w:jc w:val="both"/>
      </w:pPr>
      <w:r>
        <w:rPr>
          <w:b/>
        </w:rPr>
        <w:t>M. Amadou SOW</w:t>
      </w:r>
      <w:r>
        <w:t>,  a réitéré l’inadaptation des textes et invité toutefois les acteurs à s’y conformer en attendant les réformes souhaitées.</w:t>
      </w:r>
    </w:p>
    <w:p w:rsidR="00D07BE6" w:rsidRDefault="00D07BE6" w:rsidP="00D07BE6">
      <w:pPr>
        <w:spacing w:line="360" w:lineRule="auto"/>
        <w:jc w:val="both"/>
      </w:pPr>
    </w:p>
    <w:p w:rsidR="00D07BE6" w:rsidRDefault="00D07BE6" w:rsidP="00D07BE6">
      <w:pPr>
        <w:spacing w:line="360" w:lineRule="auto"/>
        <w:jc w:val="both"/>
      </w:pPr>
      <w:r>
        <w:rPr>
          <w:b/>
        </w:rPr>
        <w:t>M. Cheikh Tidiane DIALLO</w:t>
      </w:r>
      <w:r>
        <w:t>, Procureur Général de la Cour d’Appel de Thiès, disant son mot de la fin, a jugé enrichissantes les échanges et exprimé son souhait de voir étendre cette initiative aux autres ressorts de Cours d’Appel.</w:t>
      </w:r>
    </w:p>
    <w:p w:rsidR="00B553F4" w:rsidRDefault="00B553F4" w:rsidP="00D07BE6">
      <w:pPr>
        <w:spacing w:line="360" w:lineRule="auto"/>
        <w:jc w:val="both"/>
      </w:pPr>
    </w:p>
    <w:p w:rsidR="00D07BE6" w:rsidRDefault="00D07BE6" w:rsidP="00D07BE6">
      <w:pPr>
        <w:spacing w:line="360" w:lineRule="auto"/>
        <w:jc w:val="both"/>
      </w:pPr>
    </w:p>
    <w:p w:rsidR="00D07BE6" w:rsidRDefault="00D07BE6" w:rsidP="00D07BE6">
      <w:pPr>
        <w:spacing w:line="360" w:lineRule="auto"/>
        <w:jc w:val="center"/>
      </w:pPr>
      <w:r>
        <w:rPr>
          <w:b/>
        </w:rPr>
        <w:lastRenderedPageBreak/>
        <w:t>Suspension </w:t>
      </w:r>
      <w:r>
        <w:t>: 14 heures 05 minutes</w:t>
      </w:r>
    </w:p>
    <w:p w:rsidR="00D07BE6" w:rsidRDefault="00D07BE6" w:rsidP="00D07BE6">
      <w:pPr>
        <w:spacing w:line="360" w:lineRule="auto"/>
        <w:jc w:val="center"/>
      </w:pPr>
      <w:r>
        <w:rPr>
          <w:b/>
        </w:rPr>
        <w:t>Reprise</w:t>
      </w:r>
      <w:r>
        <w:t xml:space="preserve"> 15 heures 24 minutes</w:t>
      </w:r>
    </w:p>
    <w:p w:rsidR="00D07BE6" w:rsidRDefault="00D07BE6" w:rsidP="00D07BE6">
      <w:pPr>
        <w:spacing w:line="360" w:lineRule="auto"/>
        <w:jc w:val="both"/>
      </w:pPr>
    </w:p>
    <w:p w:rsidR="00D07BE6" w:rsidRDefault="00D07BE6" w:rsidP="00D07BE6">
      <w:pPr>
        <w:spacing w:line="360" w:lineRule="auto"/>
        <w:jc w:val="center"/>
        <w:rPr>
          <w:b/>
          <w:u w:val="thick"/>
        </w:rPr>
      </w:pPr>
      <w:r>
        <w:rPr>
          <w:b/>
          <w:u w:val="thick"/>
        </w:rPr>
        <w:t>Recommandations.</w:t>
      </w:r>
    </w:p>
    <w:p w:rsidR="00D07BE6" w:rsidRDefault="00D07BE6" w:rsidP="00D07BE6">
      <w:pPr>
        <w:spacing w:line="360" w:lineRule="auto"/>
      </w:pPr>
    </w:p>
    <w:p w:rsidR="00D07BE6" w:rsidRDefault="00D07BE6" w:rsidP="00D07BE6">
      <w:pPr>
        <w:spacing w:line="360" w:lineRule="auto"/>
      </w:pPr>
      <w:r>
        <w:t>A la reprise les participants ont convenu à l’unanimité de formuler les recommandations suivantes :</w:t>
      </w:r>
    </w:p>
    <w:p w:rsidR="00D07BE6" w:rsidRDefault="00D07BE6" w:rsidP="00D07BE6">
      <w:pPr>
        <w:pStyle w:val="Paragraphedeliste"/>
        <w:spacing w:line="360" w:lineRule="auto"/>
      </w:pPr>
    </w:p>
    <w:p w:rsidR="00D07BE6" w:rsidRDefault="00D07BE6" w:rsidP="00D07BE6">
      <w:pPr>
        <w:pStyle w:val="Paragraphedeliste"/>
        <w:numPr>
          <w:ilvl w:val="0"/>
          <w:numId w:val="1"/>
        </w:numPr>
        <w:spacing w:line="360" w:lineRule="auto"/>
        <w:jc w:val="both"/>
      </w:pPr>
      <w:r>
        <w:t>Modifier certaines dispositions Code de Procédure Pénale dans le sens de prévoir un délai de forclusion après la mise à disposition de la procédure au-delà duquel les nullités ne peuvent plus être soulevées ;</w:t>
      </w:r>
    </w:p>
    <w:p w:rsidR="00D07BE6" w:rsidRDefault="00D07BE6" w:rsidP="00D07BE6">
      <w:pPr>
        <w:pStyle w:val="Paragraphedeliste"/>
        <w:numPr>
          <w:ilvl w:val="0"/>
          <w:numId w:val="1"/>
        </w:numPr>
        <w:spacing w:line="360" w:lineRule="auto"/>
        <w:jc w:val="both"/>
      </w:pPr>
      <w:r>
        <w:t>Pour la sauvegarde des dossiers en cours, inviter les juges d’instruction à identifier toutes les procédures entachées d’irrégularités pour les déférer devant la chambre d’accusation afin de couvrir les éventuelles nullités ;</w:t>
      </w:r>
    </w:p>
    <w:p w:rsidR="00D07BE6" w:rsidRDefault="00D07BE6" w:rsidP="00D07BE6">
      <w:pPr>
        <w:pStyle w:val="Paragraphedeliste"/>
        <w:numPr>
          <w:ilvl w:val="0"/>
          <w:numId w:val="1"/>
        </w:numPr>
        <w:spacing w:line="360" w:lineRule="auto"/>
        <w:jc w:val="both"/>
      </w:pPr>
      <w:r>
        <w:t>Edicter un modèle de procès-verbal de première comparution qui prend en compte les exigences de l’article 101 ;</w:t>
      </w:r>
    </w:p>
    <w:p w:rsidR="00D07BE6" w:rsidRDefault="00D07BE6" w:rsidP="00D07BE6">
      <w:pPr>
        <w:pStyle w:val="Paragraphedeliste"/>
        <w:numPr>
          <w:ilvl w:val="0"/>
          <w:numId w:val="1"/>
        </w:numPr>
        <w:spacing w:line="360" w:lineRule="auto"/>
        <w:jc w:val="both"/>
      </w:pPr>
      <w:r>
        <w:t>Combler le vide juridique sur le sort du mis en cause durant la période d’attente de 24 heures en permettant au juge d’instruction de le mettre à disposition de la police ou la gendarmerie pour une période d’au plus 24 heures ouvrables ;</w:t>
      </w:r>
    </w:p>
    <w:p w:rsidR="00D07BE6" w:rsidRDefault="00D07BE6" w:rsidP="00D07BE6">
      <w:pPr>
        <w:pStyle w:val="Paragraphedeliste"/>
        <w:numPr>
          <w:ilvl w:val="0"/>
          <w:numId w:val="1"/>
        </w:numPr>
        <w:spacing w:line="360" w:lineRule="auto"/>
        <w:jc w:val="both"/>
      </w:pPr>
      <w:r>
        <w:t>Inviter, par le biais du Premier Président et du Procureur Général, le barreau à organiser une permanence pour les commissions d’office ;</w:t>
      </w:r>
    </w:p>
    <w:p w:rsidR="00D07BE6" w:rsidRDefault="00D07BE6" w:rsidP="00D07BE6">
      <w:pPr>
        <w:pStyle w:val="Paragraphedeliste"/>
        <w:numPr>
          <w:ilvl w:val="0"/>
          <w:numId w:val="1"/>
        </w:numPr>
        <w:spacing w:line="360" w:lineRule="auto"/>
        <w:jc w:val="both"/>
      </w:pPr>
      <w:r>
        <w:t>Réactiver la loi sur l’aide juridictionnelle et l’assistance judiciaire qui instaure dans chaque Tribunal de Grande Instance un bureau de l’assistance judiciaire.</w:t>
      </w:r>
    </w:p>
    <w:p w:rsidR="00D07BE6" w:rsidRDefault="00D07BE6" w:rsidP="00D07BE6">
      <w:pPr>
        <w:spacing w:line="360" w:lineRule="auto"/>
        <w:jc w:val="both"/>
      </w:pPr>
    </w:p>
    <w:p w:rsidR="00D07BE6" w:rsidRDefault="00D07BE6" w:rsidP="00D07BE6">
      <w:pPr>
        <w:spacing w:line="360" w:lineRule="auto"/>
        <w:jc w:val="both"/>
      </w:pPr>
      <w:r>
        <w:t>Clôture de la séance par le Premier Président de la CA de Thiès à 16 heures 40 sur des mots de remerciements à l’endroit de toute l’assistance.</w:t>
      </w:r>
    </w:p>
    <w:p w:rsidR="00D07BE6" w:rsidRDefault="00D07BE6" w:rsidP="00D07BE6">
      <w:pPr>
        <w:spacing w:line="360" w:lineRule="auto"/>
        <w:jc w:val="both"/>
      </w:pPr>
      <w:r>
        <w:tab/>
      </w:r>
    </w:p>
    <w:p w:rsidR="00D07BE6" w:rsidRDefault="00D07BE6" w:rsidP="00D07BE6">
      <w:pPr>
        <w:spacing w:line="360" w:lineRule="auto"/>
        <w:jc w:val="both"/>
      </w:pPr>
      <w:r>
        <w:tab/>
      </w:r>
      <w:r>
        <w:tab/>
      </w:r>
      <w:r>
        <w:tab/>
      </w:r>
      <w:r>
        <w:tab/>
      </w:r>
      <w:r>
        <w:tab/>
      </w:r>
      <w:r>
        <w:tab/>
      </w:r>
      <w:r>
        <w:tab/>
      </w:r>
      <w:r>
        <w:tab/>
        <w:t>Thiès, ce 14 novembre 2017</w:t>
      </w:r>
    </w:p>
    <w:p w:rsidR="00D07BE6" w:rsidRDefault="00D07BE6" w:rsidP="00D07BE6">
      <w:pPr>
        <w:spacing w:line="360" w:lineRule="auto"/>
        <w:jc w:val="both"/>
        <w:rPr>
          <w:b/>
          <w:u w:val="single"/>
        </w:rPr>
      </w:pPr>
      <w:r>
        <w:tab/>
      </w:r>
      <w:r>
        <w:tab/>
      </w:r>
      <w:r>
        <w:tab/>
      </w:r>
      <w:r>
        <w:tab/>
      </w:r>
      <w:r>
        <w:tab/>
      </w:r>
      <w:r>
        <w:tab/>
      </w:r>
      <w:r>
        <w:tab/>
      </w:r>
      <w:r>
        <w:tab/>
      </w:r>
      <w:r>
        <w:rPr>
          <w:b/>
          <w:u w:val="single"/>
        </w:rPr>
        <w:t>Le rapporteur</w:t>
      </w:r>
    </w:p>
    <w:p w:rsidR="00D07BE6" w:rsidRDefault="00D07BE6" w:rsidP="00D07BE6">
      <w:pPr>
        <w:spacing w:line="360" w:lineRule="auto"/>
        <w:ind w:left="4956" w:firstLine="708"/>
        <w:jc w:val="both"/>
      </w:pPr>
      <w:r>
        <w:rPr>
          <w:b/>
        </w:rPr>
        <w:t>Ahmadou Bamba OUALY</w:t>
      </w:r>
      <w:r>
        <w:t xml:space="preserve">, Juge d’Instruction en charge du Deuxième Cabinet du TGI de Diourbel </w:t>
      </w:r>
    </w:p>
    <w:p w:rsidR="00B92883" w:rsidRDefault="00B92883" w:rsidP="00B92883">
      <w:pPr>
        <w:spacing w:line="360" w:lineRule="auto"/>
        <w:rPr>
          <w:rFonts w:ascii="Lucida Fax" w:hAnsi="Lucida Fax" w:cs="CordiaUPC"/>
          <w:b/>
        </w:rPr>
      </w:pPr>
      <w:r w:rsidRPr="00B92883">
        <w:rPr>
          <w:rFonts w:ascii="Lucida Fax" w:hAnsi="Lucida Fax" w:cs="CordiaUPC"/>
          <w:b/>
        </w:rPr>
        <w:lastRenderedPageBreak/>
        <w:t>CENTRE DE FORMATION</w:t>
      </w:r>
      <w:r>
        <w:rPr>
          <w:rFonts w:ascii="Lucida Fax" w:hAnsi="Lucida Fax" w:cs="CordiaUPC"/>
          <w:b/>
        </w:rPr>
        <w:t xml:space="preserve">               </w:t>
      </w:r>
      <w:r w:rsidRPr="00B92883">
        <w:rPr>
          <w:rFonts w:ascii="Lucida Fax" w:hAnsi="Lucida Fax" w:cs="CordiaUPC"/>
          <w:b/>
        </w:rPr>
        <w:t xml:space="preserve"> </w:t>
      </w:r>
      <w:r>
        <w:rPr>
          <w:rFonts w:ascii="Lucida Fax" w:hAnsi="Lucida Fax" w:cs="CordiaUPC"/>
          <w:b/>
        </w:rPr>
        <w:t xml:space="preserve">ET        </w:t>
      </w:r>
      <w:r w:rsidRPr="00B92883">
        <w:rPr>
          <w:rFonts w:ascii="Lucida Fax" w:hAnsi="Lucida Fax" w:cs="CordiaUPC"/>
          <w:b/>
        </w:rPr>
        <w:t xml:space="preserve">COUR D’APPEL </w:t>
      </w:r>
      <w:r>
        <w:rPr>
          <w:rFonts w:ascii="Lucida Fax" w:hAnsi="Lucida Fax" w:cs="CordiaUPC"/>
          <w:b/>
        </w:rPr>
        <w:t xml:space="preserve">HORS CLASSE        </w:t>
      </w:r>
    </w:p>
    <w:p w:rsidR="00B92883" w:rsidRDefault="00B92883" w:rsidP="00B92883">
      <w:pPr>
        <w:spacing w:line="360" w:lineRule="auto"/>
        <w:rPr>
          <w:rFonts w:ascii="Lucida Fax" w:hAnsi="Lucida Fax" w:cs="CordiaUPC"/>
          <w:b/>
        </w:rPr>
      </w:pPr>
      <w:r>
        <w:rPr>
          <w:rFonts w:ascii="Lucida Fax" w:hAnsi="Lucida Fax" w:cs="CordiaUPC"/>
          <w:b/>
        </w:rPr>
        <w:t xml:space="preserve">    </w:t>
      </w:r>
      <w:r w:rsidRPr="00B92883">
        <w:rPr>
          <w:rFonts w:ascii="Lucida Fax" w:hAnsi="Lucida Fax" w:cs="CordiaUPC"/>
          <w:b/>
        </w:rPr>
        <w:t>JUDICIAIRE</w:t>
      </w:r>
      <w:r>
        <w:rPr>
          <w:rFonts w:ascii="Lucida Fax" w:hAnsi="Lucida Fax" w:cs="CordiaUPC"/>
          <w:b/>
        </w:rPr>
        <w:t xml:space="preserve">                                                         D</w:t>
      </w:r>
      <w:r w:rsidRPr="00B92883">
        <w:rPr>
          <w:rFonts w:ascii="Lucida Fax" w:hAnsi="Lucida Fax" w:cs="CordiaUPC"/>
          <w:b/>
        </w:rPr>
        <w:t xml:space="preserve">E </w:t>
      </w:r>
      <w:r>
        <w:rPr>
          <w:rFonts w:ascii="Lucida Fax" w:hAnsi="Lucida Fax" w:cs="CordiaUPC"/>
          <w:b/>
        </w:rPr>
        <w:t>DAKAR</w:t>
      </w:r>
    </w:p>
    <w:p w:rsidR="00B92883" w:rsidRPr="00B92883" w:rsidRDefault="00B92883" w:rsidP="00B92883">
      <w:pPr>
        <w:spacing w:line="360" w:lineRule="auto"/>
        <w:rPr>
          <w:rFonts w:ascii="Lucida Fax" w:hAnsi="Lucida Fax" w:cs="CordiaUPC"/>
          <w:b/>
        </w:rPr>
      </w:pPr>
      <w:r>
        <w:rPr>
          <w:rFonts w:ascii="Lucida Fax" w:hAnsi="Lucida Fax" w:cs="CordiaUPC"/>
          <w:b/>
        </w:rPr>
        <w:t xml:space="preserve">     </w:t>
      </w:r>
    </w:p>
    <w:p w:rsidR="00811E1A" w:rsidRDefault="00811E1A" w:rsidP="00811E1A">
      <w:pPr>
        <w:jc w:val="center"/>
      </w:pPr>
    </w:p>
    <w:p w:rsidR="00811E1A" w:rsidRDefault="00811E1A" w:rsidP="00811E1A">
      <w:pPr>
        <w:jc w:val="center"/>
      </w:pPr>
    </w:p>
    <w:p w:rsidR="00811E1A" w:rsidRDefault="00811E1A" w:rsidP="00811E1A">
      <w:pPr>
        <w:jc w:val="center"/>
      </w:pPr>
    </w:p>
    <w:p w:rsidR="00811E1A" w:rsidRDefault="00811E1A" w:rsidP="00811E1A">
      <w:pPr>
        <w:jc w:val="center"/>
      </w:pPr>
    </w:p>
    <w:p w:rsidR="00811E1A" w:rsidRDefault="00811E1A" w:rsidP="00811E1A">
      <w:pPr>
        <w:jc w:val="center"/>
      </w:pPr>
    </w:p>
    <w:p w:rsidR="00811E1A" w:rsidRPr="006A105E" w:rsidRDefault="00811E1A" w:rsidP="00811E1A">
      <w:pPr>
        <w:ind w:left="2832"/>
        <w:rPr>
          <w:rFonts w:ascii="Agency FB" w:hAnsi="Agency FB"/>
          <w:b/>
        </w:rPr>
      </w:pPr>
      <w:r>
        <w:rPr>
          <w:rFonts w:ascii="Agency FB" w:hAnsi="Agency FB"/>
          <w:b/>
        </w:rPr>
        <w:t xml:space="preserve">                          </w:t>
      </w:r>
    </w:p>
    <w:p w:rsidR="00B553F4" w:rsidRDefault="00B553F4" w:rsidP="00B553F4">
      <w:pPr>
        <w:rPr>
          <w:rFonts w:ascii="Agency FB" w:hAnsi="Agency FB"/>
          <w:b/>
        </w:rPr>
      </w:pPr>
    </w:p>
    <w:p w:rsidR="00B553F4" w:rsidRDefault="00B553F4" w:rsidP="00B553F4">
      <w:pPr>
        <w:rPr>
          <w:rFonts w:ascii="Agency FB" w:hAnsi="Agency FB"/>
          <w:b/>
        </w:rPr>
      </w:pPr>
    </w:p>
    <w:p w:rsidR="00B553F4" w:rsidRDefault="00B553F4" w:rsidP="00B553F4">
      <w:pPr>
        <w:rPr>
          <w:rFonts w:ascii="Agency FB" w:hAnsi="Agency FB"/>
          <w:b/>
        </w:rPr>
      </w:pPr>
    </w:p>
    <w:p w:rsidR="00FA1C28" w:rsidRDefault="00FA1C28" w:rsidP="00FA1C28">
      <w:pPr>
        <w:spacing w:line="360" w:lineRule="auto"/>
        <w:jc w:val="center"/>
        <w:rPr>
          <w:rFonts w:ascii="Agency FB" w:hAnsi="Agency FB"/>
          <w:b/>
        </w:rPr>
      </w:pPr>
    </w:p>
    <w:p w:rsidR="00FA1C28" w:rsidRDefault="00FA1C28" w:rsidP="00FA1C28">
      <w:pPr>
        <w:spacing w:line="360" w:lineRule="auto"/>
        <w:jc w:val="center"/>
        <w:rPr>
          <w:rFonts w:ascii="Agency FB" w:hAnsi="Agency FB"/>
          <w:b/>
        </w:rPr>
      </w:pPr>
    </w:p>
    <w:p w:rsidR="00FA1C28" w:rsidRDefault="00FA1C28" w:rsidP="00FA1C28">
      <w:pPr>
        <w:spacing w:line="360" w:lineRule="auto"/>
        <w:jc w:val="center"/>
        <w:rPr>
          <w:rFonts w:ascii="Agency FB" w:hAnsi="Agency FB"/>
          <w:b/>
        </w:rPr>
      </w:pPr>
    </w:p>
    <w:p w:rsidR="00FA1C28" w:rsidRDefault="00FA1C28" w:rsidP="00FA1C28">
      <w:pPr>
        <w:spacing w:line="360" w:lineRule="auto"/>
        <w:jc w:val="center"/>
        <w:rPr>
          <w:rFonts w:ascii="Agency FB" w:hAnsi="Agency FB"/>
          <w:b/>
        </w:rPr>
      </w:pPr>
    </w:p>
    <w:p w:rsidR="00FA1C28" w:rsidRDefault="00FA1C28" w:rsidP="00FA1C28">
      <w:pPr>
        <w:spacing w:line="360" w:lineRule="auto"/>
        <w:jc w:val="center"/>
        <w:rPr>
          <w:rFonts w:ascii="Agency FB" w:hAnsi="Agency FB"/>
          <w:b/>
        </w:rPr>
      </w:pPr>
    </w:p>
    <w:p w:rsidR="00FA1C28" w:rsidRPr="00C56B28" w:rsidRDefault="00D07BE6" w:rsidP="00FA1C28">
      <w:pPr>
        <w:spacing w:line="360" w:lineRule="auto"/>
        <w:jc w:val="center"/>
        <w:rPr>
          <w:b/>
        </w:rPr>
      </w:pPr>
      <w:r>
        <w:rPr>
          <w:rFonts w:ascii="Agency FB" w:hAnsi="Agency FB"/>
          <w:b/>
        </w:rPr>
        <w:t xml:space="preserve">   </w:t>
      </w:r>
      <w:r w:rsidR="00FA1C28" w:rsidRPr="00C56B28">
        <w:rPr>
          <w:b/>
        </w:rPr>
        <w:t>RAPPORT SEMINAIRE SUR LES CHAMBRES CRIMINELLES</w:t>
      </w:r>
    </w:p>
    <w:p w:rsidR="00FA1C28" w:rsidRDefault="00FA1C28" w:rsidP="00FA1C28">
      <w:pPr>
        <w:spacing w:after="120"/>
        <w:jc w:val="center"/>
        <w:rPr>
          <w:rFonts w:ascii="Times New Roman" w:hAnsi="Times New Roman" w:cs="Times New Roman"/>
          <w:b/>
          <w:i/>
        </w:rPr>
      </w:pPr>
    </w:p>
    <w:p w:rsidR="00FA1C28" w:rsidRPr="00FA1C28" w:rsidRDefault="00FA1C28" w:rsidP="00FA1C28">
      <w:pPr>
        <w:shd w:val="clear" w:color="auto" w:fill="FFFFFF" w:themeFill="background1"/>
        <w:tabs>
          <w:tab w:val="left" w:pos="6220"/>
        </w:tabs>
        <w:spacing w:line="360" w:lineRule="auto"/>
        <w:jc w:val="center"/>
        <w:rPr>
          <w:rFonts w:ascii="Times New Roman" w:hAnsi="Times New Roman" w:cs="Times New Roman"/>
          <w:b/>
        </w:rPr>
      </w:pPr>
      <w:r w:rsidRPr="00FA1C28">
        <w:rPr>
          <w:rFonts w:ascii="Times New Roman" w:hAnsi="Times New Roman" w:cs="Times New Roman"/>
          <w:b/>
        </w:rPr>
        <w:t>DAKAR LE 29 NOVEMBRE 2017</w:t>
      </w:r>
    </w:p>
    <w:p w:rsidR="00FA1C28" w:rsidRDefault="00FA1C28" w:rsidP="00FA1C28">
      <w:pPr>
        <w:spacing w:after="120"/>
        <w:jc w:val="center"/>
        <w:rPr>
          <w:rFonts w:ascii="Times New Roman" w:hAnsi="Times New Roman" w:cs="Times New Roman"/>
          <w:b/>
        </w:rPr>
      </w:pPr>
    </w:p>
    <w:p w:rsidR="00FA1C28" w:rsidRDefault="00B92883">
      <w:pPr>
        <w:spacing w:after="160" w:line="259" w:lineRule="auto"/>
        <w:rPr>
          <w:rFonts w:ascii="Agency FB" w:hAnsi="Agency FB"/>
          <w:b/>
        </w:rPr>
      </w:pPr>
      <w:r>
        <w:rPr>
          <w:noProof/>
        </w:rPr>
        <w:drawing>
          <wp:anchor distT="0" distB="0" distL="114300" distR="114300" simplePos="0" relativeHeight="251680768" behindDoc="0" locked="0" layoutInCell="1" allowOverlap="1" wp14:anchorId="3FBEDA0C" wp14:editId="17BFC804">
            <wp:simplePos x="0" y="0"/>
            <wp:positionH relativeFrom="column">
              <wp:posOffset>1998345</wp:posOffset>
            </wp:positionH>
            <wp:positionV relativeFrom="paragraph">
              <wp:posOffset>3681730</wp:posOffset>
            </wp:positionV>
            <wp:extent cx="1990725" cy="717550"/>
            <wp:effectExtent l="0" t="0" r="9525" b="6350"/>
            <wp:wrapSquare wrapText="bothSides"/>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7" cstate="print"/>
                    <a:srcRect l="24503" t="47961" r="28311" b="27754"/>
                    <a:stretch>
                      <a:fillRect/>
                    </a:stretch>
                  </pic:blipFill>
                  <pic:spPr bwMode="auto">
                    <a:xfrm>
                      <a:off x="0" y="0"/>
                      <a:ext cx="1990725" cy="717550"/>
                    </a:xfrm>
                    <a:prstGeom prst="rect">
                      <a:avLst/>
                    </a:prstGeom>
                    <a:noFill/>
                    <a:ln w="9525">
                      <a:noFill/>
                      <a:miter lim="800000"/>
                      <a:headEnd/>
                      <a:tailEnd/>
                    </a:ln>
                  </pic:spPr>
                </pic:pic>
              </a:graphicData>
            </a:graphic>
          </wp:anchor>
        </w:drawing>
      </w:r>
      <w:r w:rsidR="00FA1C28">
        <w:rPr>
          <w:rFonts w:ascii="Agency FB" w:hAnsi="Agency FB"/>
          <w:b/>
        </w:rPr>
        <w:br w:type="page"/>
      </w:r>
    </w:p>
    <w:p w:rsidR="00D07BE6" w:rsidRPr="006A105E" w:rsidRDefault="00D07BE6" w:rsidP="00D07BE6">
      <w:pPr>
        <w:ind w:left="2832"/>
        <w:rPr>
          <w:rFonts w:ascii="Agency FB" w:hAnsi="Agency FB"/>
          <w:b/>
        </w:rPr>
      </w:pPr>
    </w:p>
    <w:p w:rsidR="009B2B0A" w:rsidRDefault="009B2B0A" w:rsidP="009B2B0A">
      <w:pPr>
        <w:jc w:val="center"/>
        <w:rPr>
          <w:rFonts w:ascii="Monotype Corsiva" w:hAnsi="Monotype Corsiva"/>
          <w:b/>
          <w:bCs/>
          <w:i/>
          <w:iCs/>
          <w:szCs w:val="20"/>
        </w:rPr>
      </w:pPr>
      <w:r>
        <w:rPr>
          <w:rFonts w:ascii="Monotype Corsiva" w:hAnsi="Monotype Corsiva"/>
          <w:b/>
          <w:i/>
          <w:noProof/>
          <w:szCs w:val="20"/>
        </w:rPr>
        <w:drawing>
          <wp:inline distT="0" distB="0" distL="0" distR="0" wp14:anchorId="5A0816F2" wp14:editId="0365390E">
            <wp:extent cx="1204595" cy="518795"/>
            <wp:effectExtent l="0" t="0" r="0" b="0"/>
            <wp:docPr id="7" name="Image 7" descr="Drapeau du Séné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descr="Drapeau du Sénég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4595" cy="518795"/>
                    </a:xfrm>
                    <a:prstGeom prst="rect">
                      <a:avLst/>
                    </a:prstGeom>
                    <a:noFill/>
                    <a:ln>
                      <a:noFill/>
                    </a:ln>
                  </pic:spPr>
                </pic:pic>
              </a:graphicData>
            </a:graphic>
          </wp:inline>
        </w:drawing>
      </w:r>
    </w:p>
    <w:p w:rsidR="009B2B0A" w:rsidRDefault="009B2B0A" w:rsidP="009B2B0A">
      <w:pPr>
        <w:jc w:val="center"/>
        <w:rPr>
          <w:rFonts w:ascii="Times New Roman" w:hAnsi="Times New Roman"/>
          <w:bCs/>
          <w:iCs/>
          <w:sz w:val="14"/>
          <w:szCs w:val="20"/>
        </w:rPr>
      </w:pPr>
      <w:r>
        <w:rPr>
          <w:bCs/>
          <w:iCs/>
          <w:sz w:val="14"/>
          <w:szCs w:val="20"/>
        </w:rPr>
        <w:t>REPUBLIQUE DU SENEGAL</w:t>
      </w:r>
    </w:p>
    <w:p w:rsidR="009B2B0A" w:rsidRDefault="009B2B0A" w:rsidP="009B2B0A">
      <w:pPr>
        <w:jc w:val="center"/>
        <w:rPr>
          <w:rFonts w:ascii="Monotype Corsiva" w:hAnsi="Monotype Corsiva"/>
          <w:b/>
          <w:bCs/>
          <w:i/>
          <w:iCs/>
          <w:szCs w:val="20"/>
        </w:rPr>
      </w:pPr>
      <w:r>
        <w:rPr>
          <w:rFonts w:ascii="Monotype Corsiva" w:hAnsi="Monotype Corsiva"/>
          <w:b/>
          <w:bCs/>
          <w:i/>
          <w:iCs/>
          <w:szCs w:val="20"/>
        </w:rPr>
        <w:t>Un Peuple – Un But – Une Foi</w:t>
      </w:r>
    </w:p>
    <w:p w:rsidR="009B2B0A" w:rsidRDefault="009B2B0A" w:rsidP="009B2B0A">
      <w:pPr>
        <w:jc w:val="center"/>
        <w:rPr>
          <w:rFonts w:ascii="Bookman Old Style" w:hAnsi="Bookman Old Style"/>
          <w:b/>
          <w:bCs/>
          <w:sz w:val="20"/>
          <w:szCs w:val="20"/>
        </w:rPr>
      </w:pPr>
      <w:r>
        <w:rPr>
          <w:rFonts w:ascii="Bookman Old Style" w:hAnsi="Bookman Old Style"/>
          <w:b/>
          <w:bCs/>
          <w:sz w:val="20"/>
          <w:szCs w:val="20"/>
        </w:rPr>
        <w:t>MINISTERE DE LA JUSTICE</w:t>
      </w:r>
    </w:p>
    <w:p w:rsidR="009B2B0A" w:rsidRDefault="009B2B0A" w:rsidP="009B2B0A">
      <w:pPr>
        <w:jc w:val="center"/>
        <w:rPr>
          <w:rFonts w:ascii="Eras Bold ITC" w:hAnsi="Eras Bold ITC"/>
          <w:b/>
          <w:bCs/>
          <w:sz w:val="16"/>
        </w:rPr>
      </w:pPr>
      <w:r>
        <w:rPr>
          <w:rFonts w:ascii="Eras Bold ITC" w:hAnsi="Eras Bold ITC"/>
          <w:b/>
          <w:bCs/>
          <w:sz w:val="16"/>
        </w:rPr>
        <w:t xml:space="preserve">COUR D’APPEL DE </w:t>
      </w:r>
      <w:r w:rsidR="00811E1A">
        <w:rPr>
          <w:rFonts w:ascii="Eras Bold ITC" w:hAnsi="Eras Bold ITC"/>
          <w:b/>
          <w:bCs/>
          <w:sz w:val="16"/>
        </w:rPr>
        <w:t>DAKAR</w:t>
      </w:r>
    </w:p>
    <w:p w:rsidR="009B2B0A" w:rsidRDefault="009B2B0A" w:rsidP="009B2B0A">
      <w:pPr>
        <w:jc w:val="both"/>
        <w:rPr>
          <w:rFonts w:ascii="Times New Roman" w:hAnsi="Times New Roman" w:cs="Times New Roman"/>
        </w:rPr>
      </w:pPr>
    </w:p>
    <w:p w:rsidR="009B2B0A" w:rsidRDefault="009B2B0A" w:rsidP="009B2B0A">
      <w:pPr>
        <w:jc w:val="center"/>
        <w:rPr>
          <w:rFonts w:ascii="Times New Roman" w:hAnsi="Times New Roman" w:cs="Times New Roman"/>
          <w:b/>
          <w:i/>
        </w:rPr>
      </w:pPr>
    </w:p>
    <w:p w:rsidR="009B2B0A" w:rsidRDefault="009B2B0A" w:rsidP="009B2B0A">
      <w:pPr>
        <w:jc w:val="center"/>
        <w:rPr>
          <w:rFonts w:ascii="Times New Roman" w:hAnsi="Times New Roman" w:cs="Times New Roman"/>
          <w:b/>
          <w:i/>
        </w:rPr>
      </w:pPr>
    </w:p>
    <w:p w:rsidR="009B2B0A" w:rsidRDefault="009B2B0A" w:rsidP="009B2B0A">
      <w:pPr>
        <w:jc w:val="center"/>
        <w:rPr>
          <w:rFonts w:ascii="Times New Roman" w:hAnsi="Times New Roman" w:cs="Times New Roman"/>
          <w:b/>
          <w:i/>
        </w:rPr>
      </w:pPr>
      <w:r>
        <w:rPr>
          <w:rFonts w:ascii="Times New Roman" w:hAnsi="Times New Roman" w:cs="Times New Roman"/>
          <w:b/>
          <w:i/>
        </w:rPr>
        <w:t>SEMINAIRE SUR LES CHAMBRES CRIMINELLES</w:t>
      </w:r>
    </w:p>
    <w:p w:rsidR="009B2B0A" w:rsidRPr="009B2B0A" w:rsidRDefault="009B2B0A" w:rsidP="009B2B0A">
      <w:pPr>
        <w:shd w:val="clear" w:color="auto" w:fill="FFFFFF" w:themeFill="background1"/>
        <w:tabs>
          <w:tab w:val="left" w:pos="6220"/>
        </w:tabs>
        <w:spacing w:line="360" w:lineRule="auto"/>
        <w:jc w:val="center"/>
        <w:rPr>
          <w:rFonts w:ascii="Times New Roman" w:hAnsi="Times New Roman" w:cs="Times New Roman"/>
          <w:b/>
          <w:i/>
        </w:rPr>
      </w:pPr>
      <w:r w:rsidRPr="009B2B0A">
        <w:rPr>
          <w:rFonts w:ascii="Times New Roman" w:hAnsi="Times New Roman" w:cs="Times New Roman"/>
          <w:b/>
          <w:i/>
        </w:rPr>
        <w:t>DAKAR LE 29 NOVEMBRE 2017</w:t>
      </w:r>
    </w:p>
    <w:p w:rsidR="009B2B0A" w:rsidRDefault="009B2B0A" w:rsidP="009B2B0A">
      <w:pPr>
        <w:spacing w:after="120"/>
        <w:jc w:val="center"/>
        <w:rPr>
          <w:rFonts w:ascii="Times New Roman" w:hAnsi="Times New Roman" w:cs="Times New Roman"/>
          <w:b/>
          <w:i/>
        </w:rPr>
      </w:pPr>
    </w:p>
    <w:p w:rsidR="009B2B0A" w:rsidRDefault="009B2B0A" w:rsidP="009B2B0A">
      <w:pPr>
        <w:spacing w:line="360" w:lineRule="auto"/>
        <w:jc w:val="center"/>
        <w:rPr>
          <w:b/>
          <w:u w:val="thick"/>
        </w:rPr>
      </w:pPr>
    </w:p>
    <w:p w:rsidR="009B2B0A" w:rsidRDefault="009B2B0A" w:rsidP="009B2B0A">
      <w:pPr>
        <w:spacing w:line="360" w:lineRule="auto"/>
        <w:jc w:val="center"/>
        <w:rPr>
          <w:b/>
          <w:u w:val="thick"/>
        </w:rPr>
      </w:pPr>
      <w:r>
        <w:rPr>
          <w:b/>
          <w:u w:val="thick"/>
        </w:rPr>
        <w:t>Rapport Séminaire sur les chambres criminelles</w:t>
      </w:r>
    </w:p>
    <w:p w:rsidR="00D07BE6" w:rsidRDefault="00D07BE6" w:rsidP="00D07BE6">
      <w:pPr>
        <w:jc w:val="center"/>
        <w:rPr>
          <w:rFonts w:ascii="Trebuchet MS" w:hAnsi="Trebuchet MS"/>
          <w:b/>
          <w:bCs/>
          <w:color w:val="41405C"/>
          <w:sz w:val="32"/>
          <w:szCs w:val="32"/>
        </w:rPr>
      </w:pPr>
    </w:p>
    <w:p w:rsidR="00D07BE6" w:rsidRPr="00DB5AF3" w:rsidRDefault="00D07BE6" w:rsidP="009B2B0A">
      <w:pPr>
        <w:jc w:val="center"/>
        <w:rPr>
          <w:b/>
          <w:sz w:val="28"/>
          <w:szCs w:val="28"/>
        </w:rPr>
      </w:pPr>
      <w:r w:rsidRPr="00DB5AF3">
        <w:rPr>
          <w:b/>
          <w:sz w:val="28"/>
          <w:szCs w:val="28"/>
        </w:rPr>
        <w:t>Plan du rapport</w:t>
      </w:r>
    </w:p>
    <w:p w:rsidR="00D07BE6" w:rsidRPr="00863D9B" w:rsidRDefault="00D07BE6" w:rsidP="00D07BE6">
      <w:pPr>
        <w:rPr>
          <w:b/>
        </w:rPr>
      </w:pPr>
    </w:p>
    <w:p w:rsidR="00D07BE6" w:rsidRPr="00863D9B" w:rsidRDefault="00D07BE6" w:rsidP="00AA255B">
      <w:pPr>
        <w:pStyle w:val="Paragraphedeliste"/>
        <w:spacing w:line="360" w:lineRule="auto"/>
        <w:jc w:val="both"/>
      </w:pPr>
      <w:r w:rsidRPr="00863D9B">
        <w:t>Cérémonie d’ouverture de la journée de réflexion</w:t>
      </w:r>
    </w:p>
    <w:p w:rsidR="00D07BE6" w:rsidRPr="00863D9B" w:rsidRDefault="00D07BE6" w:rsidP="00AA255B">
      <w:pPr>
        <w:pStyle w:val="Paragraphedeliste"/>
        <w:numPr>
          <w:ilvl w:val="0"/>
          <w:numId w:val="1"/>
        </w:numPr>
        <w:spacing w:line="360" w:lineRule="auto"/>
        <w:jc w:val="both"/>
      </w:pPr>
      <w:r w:rsidRPr="00863D9B">
        <w:t>Exposés de mise à niveau sur les différentes formes de nullité</w:t>
      </w:r>
      <w:r>
        <w:t xml:space="preserve"> et les réponses des Juges</w:t>
      </w:r>
    </w:p>
    <w:p w:rsidR="00D07BE6" w:rsidRPr="00863D9B" w:rsidRDefault="00D07BE6" w:rsidP="00AA255B">
      <w:pPr>
        <w:pStyle w:val="Paragraphedeliste"/>
        <w:numPr>
          <w:ilvl w:val="0"/>
          <w:numId w:val="1"/>
        </w:numPr>
        <w:spacing w:line="360" w:lineRule="auto"/>
        <w:jc w:val="both"/>
      </w:pPr>
      <w:r w:rsidRPr="00863D9B">
        <w:t>Etude sur la question des nullités devant les Chambres Criminelles</w:t>
      </w:r>
    </w:p>
    <w:p w:rsidR="00D07BE6" w:rsidRPr="00863D9B" w:rsidRDefault="00D07BE6" w:rsidP="00AA255B">
      <w:pPr>
        <w:pStyle w:val="Paragraphedeliste"/>
        <w:numPr>
          <w:ilvl w:val="0"/>
          <w:numId w:val="1"/>
        </w:numPr>
        <w:spacing w:line="360" w:lineRule="auto"/>
        <w:jc w:val="both"/>
      </w:pPr>
      <w:r w:rsidRPr="00863D9B">
        <w:t>Typologie des nullités généralement soulevées à l’audience criminelle</w:t>
      </w:r>
    </w:p>
    <w:p w:rsidR="00D07BE6" w:rsidRPr="00863D9B" w:rsidRDefault="00D07BE6" w:rsidP="00AA255B">
      <w:pPr>
        <w:pStyle w:val="Paragraphedeliste"/>
        <w:numPr>
          <w:ilvl w:val="0"/>
          <w:numId w:val="1"/>
        </w:numPr>
        <w:spacing w:line="360" w:lineRule="auto"/>
        <w:jc w:val="both"/>
      </w:pPr>
      <w:r w:rsidRPr="00863D9B">
        <w:t>Les nullités textuelles</w:t>
      </w:r>
    </w:p>
    <w:p w:rsidR="00D07BE6" w:rsidRPr="00863D9B" w:rsidRDefault="00D07BE6" w:rsidP="00AA255B">
      <w:pPr>
        <w:pStyle w:val="Paragraphedeliste"/>
        <w:numPr>
          <w:ilvl w:val="0"/>
          <w:numId w:val="1"/>
        </w:numPr>
        <w:spacing w:line="360" w:lineRule="auto"/>
        <w:jc w:val="both"/>
      </w:pPr>
      <w:r w:rsidRPr="00863D9B">
        <w:t>Les nullités policières</w:t>
      </w:r>
    </w:p>
    <w:p w:rsidR="00D07BE6" w:rsidRPr="00863D9B" w:rsidRDefault="00D07BE6" w:rsidP="00AA255B">
      <w:pPr>
        <w:pStyle w:val="Paragraphedeliste"/>
        <w:numPr>
          <w:ilvl w:val="0"/>
          <w:numId w:val="1"/>
        </w:numPr>
        <w:spacing w:line="360" w:lineRule="auto"/>
        <w:jc w:val="both"/>
      </w:pPr>
      <w:r w:rsidRPr="00863D9B">
        <w:t>Les nullités de l’instruction</w:t>
      </w:r>
    </w:p>
    <w:p w:rsidR="00D07BE6" w:rsidRPr="00863D9B" w:rsidRDefault="00D07BE6" w:rsidP="00AA255B">
      <w:pPr>
        <w:pStyle w:val="Paragraphedeliste"/>
        <w:numPr>
          <w:ilvl w:val="0"/>
          <w:numId w:val="1"/>
        </w:numPr>
        <w:spacing w:line="360" w:lineRule="auto"/>
        <w:jc w:val="both"/>
      </w:pPr>
      <w:r w:rsidRPr="00863D9B">
        <w:t>Les nullités substantielles</w:t>
      </w:r>
    </w:p>
    <w:p w:rsidR="00D07BE6" w:rsidRPr="00863D9B" w:rsidRDefault="00D07BE6" w:rsidP="00AA255B">
      <w:pPr>
        <w:pStyle w:val="Paragraphedeliste"/>
        <w:numPr>
          <w:ilvl w:val="0"/>
          <w:numId w:val="1"/>
        </w:numPr>
        <w:spacing w:line="360" w:lineRule="auto"/>
        <w:jc w:val="both"/>
      </w:pPr>
      <w:r w:rsidRPr="00863D9B">
        <w:t xml:space="preserve">Timidité de la jurisprudence relative aux nullités substantielles de l’enquête </w:t>
      </w:r>
    </w:p>
    <w:p w:rsidR="00D07BE6" w:rsidRPr="00863D9B" w:rsidRDefault="00D07BE6" w:rsidP="00AA255B">
      <w:pPr>
        <w:pStyle w:val="Paragraphedeliste"/>
        <w:numPr>
          <w:ilvl w:val="0"/>
          <w:numId w:val="1"/>
        </w:numPr>
        <w:spacing w:line="360" w:lineRule="auto"/>
        <w:jc w:val="both"/>
      </w:pPr>
      <w:r w:rsidRPr="00863D9B">
        <w:t>Sanction de l’omission des formalités substantielles au niveau de l’instruction</w:t>
      </w:r>
    </w:p>
    <w:p w:rsidR="00D07BE6" w:rsidRPr="00863D9B" w:rsidRDefault="00D07BE6" w:rsidP="00AA255B">
      <w:pPr>
        <w:pStyle w:val="Paragraphedeliste"/>
        <w:numPr>
          <w:ilvl w:val="0"/>
          <w:numId w:val="1"/>
        </w:numPr>
        <w:spacing w:line="360" w:lineRule="auto"/>
        <w:jc w:val="both"/>
      </w:pPr>
      <w:r w:rsidRPr="00863D9B">
        <w:t>Les techniques de sauvegarde des procédures encourant l’annulation</w:t>
      </w:r>
    </w:p>
    <w:p w:rsidR="00D07BE6" w:rsidRPr="00863D9B" w:rsidRDefault="00D07BE6" w:rsidP="00AA255B">
      <w:pPr>
        <w:pStyle w:val="Paragraphedeliste"/>
        <w:numPr>
          <w:ilvl w:val="0"/>
          <w:numId w:val="1"/>
        </w:numPr>
        <w:spacing w:line="360" w:lineRule="auto"/>
        <w:jc w:val="both"/>
      </w:pPr>
      <w:r w:rsidRPr="00863D9B">
        <w:t>Les techniques de réparation</w:t>
      </w:r>
    </w:p>
    <w:p w:rsidR="00D07BE6" w:rsidRPr="00863D9B" w:rsidRDefault="00D07BE6" w:rsidP="00AA255B">
      <w:pPr>
        <w:pStyle w:val="Paragraphedeliste"/>
        <w:numPr>
          <w:ilvl w:val="0"/>
          <w:numId w:val="1"/>
        </w:numPr>
        <w:spacing w:line="360" w:lineRule="auto"/>
        <w:jc w:val="both"/>
      </w:pPr>
      <w:r w:rsidRPr="00863D9B">
        <w:t>La renonciation</w:t>
      </w:r>
    </w:p>
    <w:p w:rsidR="00D07BE6" w:rsidRPr="00863D9B" w:rsidRDefault="00D07BE6" w:rsidP="00AA255B">
      <w:pPr>
        <w:pStyle w:val="Paragraphedeliste"/>
        <w:numPr>
          <w:ilvl w:val="0"/>
          <w:numId w:val="1"/>
        </w:numPr>
        <w:spacing w:line="360" w:lineRule="auto"/>
        <w:jc w:val="both"/>
      </w:pPr>
      <w:r w:rsidRPr="00863D9B">
        <w:t>La réfaction de l’acte irrégulier</w:t>
      </w:r>
    </w:p>
    <w:p w:rsidR="00D07BE6" w:rsidRPr="00863D9B" w:rsidRDefault="00D07BE6" w:rsidP="00AA255B">
      <w:pPr>
        <w:pStyle w:val="Paragraphedeliste"/>
        <w:numPr>
          <w:ilvl w:val="0"/>
          <w:numId w:val="1"/>
        </w:numPr>
        <w:spacing w:line="360" w:lineRule="auto"/>
        <w:jc w:val="both"/>
      </w:pPr>
      <w:r w:rsidRPr="00863D9B">
        <w:t>Les techniques de neutralisation</w:t>
      </w:r>
    </w:p>
    <w:p w:rsidR="00D07BE6" w:rsidRPr="00863D9B" w:rsidRDefault="00D07BE6" w:rsidP="00AA255B">
      <w:pPr>
        <w:pStyle w:val="Paragraphedeliste"/>
        <w:numPr>
          <w:ilvl w:val="0"/>
          <w:numId w:val="1"/>
        </w:numPr>
        <w:spacing w:line="360" w:lineRule="auto"/>
        <w:jc w:val="both"/>
      </w:pPr>
      <w:r w:rsidRPr="00863D9B">
        <w:t>La purge des vices</w:t>
      </w:r>
    </w:p>
    <w:p w:rsidR="00D07BE6" w:rsidRPr="00863D9B" w:rsidRDefault="00D07BE6" w:rsidP="00AA255B">
      <w:pPr>
        <w:pStyle w:val="Paragraphedeliste"/>
        <w:numPr>
          <w:ilvl w:val="0"/>
          <w:numId w:val="1"/>
        </w:numPr>
        <w:spacing w:line="360" w:lineRule="auto"/>
        <w:jc w:val="both"/>
      </w:pPr>
      <w:r w:rsidRPr="00863D9B">
        <w:t>L’anéantissement de l’acte vicié</w:t>
      </w:r>
    </w:p>
    <w:p w:rsidR="00D07BE6" w:rsidRPr="00863D9B" w:rsidRDefault="00D07BE6" w:rsidP="00AA255B">
      <w:pPr>
        <w:pStyle w:val="Paragraphedeliste"/>
        <w:numPr>
          <w:ilvl w:val="0"/>
          <w:numId w:val="1"/>
        </w:numPr>
        <w:spacing w:line="360" w:lineRule="auto"/>
        <w:jc w:val="both"/>
      </w:pPr>
      <w:r w:rsidRPr="00863D9B">
        <w:lastRenderedPageBreak/>
        <w:t xml:space="preserve">L’état de la jurisprudence des chambres criminelles du ressort de Dakar </w:t>
      </w:r>
      <w:r>
        <w:t>sur les</w:t>
      </w:r>
      <w:r w:rsidRPr="00863D9B">
        <w:t xml:space="preserve"> nullités </w:t>
      </w:r>
    </w:p>
    <w:p w:rsidR="00D07BE6" w:rsidRPr="00863D9B" w:rsidRDefault="00D07BE6" w:rsidP="00AA255B">
      <w:pPr>
        <w:pStyle w:val="Paragraphedeliste"/>
        <w:numPr>
          <w:ilvl w:val="0"/>
          <w:numId w:val="1"/>
        </w:numPr>
        <w:spacing w:line="360" w:lineRule="auto"/>
        <w:jc w:val="both"/>
      </w:pPr>
      <w:r w:rsidRPr="00863D9B">
        <w:t>Exposé de quelques cas pratiques rencontrés</w:t>
      </w:r>
    </w:p>
    <w:p w:rsidR="00D07BE6" w:rsidRPr="00863D9B" w:rsidRDefault="00D07BE6" w:rsidP="00AA255B">
      <w:pPr>
        <w:pStyle w:val="Paragraphedeliste"/>
        <w:numPr>
          <w:ilvl w:val="0"/>
          <w:numId w:val="1"/>
        </w:numPr>
        <w:spacing w:line="360" w:lineRule="auto"/>
        <w:jc w:val="both"/>
      </w:pPr>
      <w:r w:rsidRPr="00863D9B">
        <w:t>Analyse critique de la jurisprudence</w:t>
      </w:r>
    </w:p>
    <w:p w:rsidR="00D07BE6" w:rsidRPr="00863D9B" w:rsidRDefault="00D07BE6" w:rsidP="00AA255B">
      <w:pPr>
        <w:pStyle w:val="Paragraphedeliste"/>
        <w:numPr>
          <w:ilvl w:val="0"/>
          <w:numId w:val="1"/>
        </w:numPr>
        <w:spacing w:line="360" w:lineRule="auto"/>
        <w:jc w:val="both"/>
      </w:pPr>
      <w:r w:rsidRPr="00863D9B">
        <w:t>Discussion générale et synthèse des travaux</w:t>
      </w:r>
    </w:p>
    <w:p w:rsidR="00D07BE6" w:rsidRPr="00863D9B" w:rsidRDefault="00D07BE6" w:rsidP="00AA255B">
      <w:pPr>
        <w:pStyle w:val="Paragraphedeliste"/>
        <w:numPr>
          <w:ilvl w:val="0"/>
          <w:numId w:val="1"/>
        </w:numPr>
        <w:spacing w:line="360" w:lineRule="auto"/>
        <w:jc w:val="both"/>
      </w:pPr>
      <w:r w:rsidRPr="00863D9B">
        <w:t>Recommandations et clôture</w:t>
      </w:r>
      <w:r>
        <w:t xml:space="preserve"> des travaux</w:t>
      </w:r>
    </w:p>
    <w:p w:rsidR="00D07BE6" w:rsidRPr="00863D9B" w:rsidRDefault="00D07BE6" w:rsidP="00AA255B">
      <w:pPr>
        <w:spacing w:line="360" w:lineRule="auto"/>
        <w:ind w:left="360"/>
        <w:jc w:val="both"/>
      </w:pPr>
    </w:p>
    <w:p w:rsidR="00D07BE6" w:rsidRPr="00863D9B" w:rsidRDefault="00D07BE6" w:rsidP="00AA255B">
      <w:pPr>
        <w:spacing w:line="360" w:lineRule="auto"/>
        <w:jc w:val="both"/>
      </w:pPr>
      <w:r w:rsidRPr="00863D9B">
        <w:t xml:space="preserve">Le mercredi 29 novembre 2017 s’est tenu, à la salle de réunion de la Cour d’Appel de Dakar une journée de réflexion sur </w:t>
      </w:r>
      <w:r w:rsidRPr="00AA255B">
        <w:t>les nullités de la procédure en matière criminelle</w:t>
      </w:r>
      <w:r w:rsidRPr="00863D9B">
        <w:t xml:space="preserve">, organisée par le Centre de Formation Judiciaire avec l’appui de la Direction des Affaires Criminelles et des Grâces du Ministère de la Justice. </w:t>
      </w:r>
    </w:p>
    <w:p w:rsidR="00AA255B" w:rsidRDefault="00AA255B" w:rsidP="00AA255B">
      <w:pPr>
        <w:spacing w:line="360" w:lineRule="auto"/>
        <w:jc w:val="both"/>
      </w:pPr>
    </w:p>
    <w:p w:rsidR="00D07BE6" w:rsidRPr="00863D9B" w:rsidRDefault="00D07BE6" w:rsidP="00AA255B">
      <w:pPr>
        <w:spacing w:line="360" w:lineRule="auto"/>
        <w:jc w:val="both"/>
      </w:pPr>
      <w:r w:rsidRPr="00863D9B">
        <w:t>Ont pris part à cette rencontre les Juges d’instruction du ressort de la Cour d’Appel de Dakar, les Magistrats du Parquet et les Juges du siège titulaires des Chambres criminelles d’instance et d’appel mais aussi le Directeur des Affaires Criminelles et des Grâces, le Directeur du Centre de Formation Judiciaire et son Adjoint ainsi que le Premier Président de la Cour d’Appel de Dakar et le Procureur Général près ladite Cour</w:t>
      </w:r>
      <w:r>
        <w:t xml:space="preserve"> (Cf. liste de présence annexée)</w:t>
      </w:r>
      <w:r w:rsidRPr="00863D9B">
        <w:t>.</w:t>
      </w:r>
    </w:p>
    <w:p w:rsidR="00D07BE6" w:rsidRPr="00AA255B" w:rsidRDefault="00D07BE6" w:rsidP="00AA255B">
      <w:pPr>
        <w:spacing w:line="360" w:lineRule="auto"/>
        <w:jc w:val="center"/>
        <w:rPr>
          <w:b/>
        </w:rPr>
      </w:pPr>
      <w:r w:rsidRPr="00AA255B">
        <w:rPr>
          <w:b/>
        </w:rPr>
        <w:t>Cérémonie d’ouverture</w:t>
      </w:r>
    </w:p>
    <w:p w:rsidR="00D07BE6" w:rsidRPr="00863D9B" w:rsidRDefault="00D07BE6" w:rsidP="00AA255B">
      <w:pPr>
        <w:spacing w:line="360" w:lineRule="auto"/>
        <w:jc w:val="both"/>
      </w:pPr>
      <w:r w:rsidRPr="00863D9B">
        <w:t>Les travaux ont débuté à 09H30 avec le mot de bienvenue de monsieur le Premier Président de la Cour d’Appel qui, après avoir salué l’initiative du CFJ, a insisté sur l’importance de la rencontre avec notamment l’échange d’expérience des praticiens quotidiennement confrontés au problème des nullités.</w:t>
      </w:r>
    </w:p>
    <w:p w:rsidR="00AA255B" w:rsidRDefault="00AA255B" w:rsidP="00AA255B">
      <w:pPr>
        <w:spacing w:line="360" w:lineRule="auto"/>
        <w:jc w:val="both"/>
      </w:pPr>
    </w:p>
    <w:p w:rsidR="00AA255B" w:rsidRDefault="00D07BE6" w:rsidP="00AA255B">
      <w:pPr>
        <w:spacing w:line="360" w:lineRule="auto"/>
        <w:jc w:val="both"/>
      </w:pPr>
      <w:r w:rsidRPr="00863D9B">
        <w:t>Prenant la parole, le Directeur des Affaires Criminelles et des Grâces</w:t>
      </w:r>
      <w:r>
        <w:t>, qui a dirigé les travaux en tant que modérateur des débats,</w:t>
      </w:r>
      <w:r w:rsidRPr="00863D9B">
        <w:t xml:space="preserve"> a remercié le CFJ de l’avoir associé à cette journée de réflexion dont le but était surtout d’instituer les bonnes pratiques et de voir ensemble les textes et les problèmes qu’ils posent en vue d’une interprétation uniforme ou d’une réforme.</w:t>
      </w:r>
    </w:p>
    <w:p w:rsidR="00D07BE6" w:rsidRPr="00863D9B" w:rsidRDefault="00D07BE6" w:rsidP="00AA255B">
      <w:pPr>
        <w:spacing w:line="360" w:lineRule="auto"/>
        <w:jc w:val="both"/>
      </w:pPr>
      <w:r w:rsidRPr="00863D9B">
        <w:t xml:space="preserve">A sa suite, le Directeur du Centre de Formation Judiciaire a indiqué que la rencontre rentrait dans le cadre des activités de renforcement des capacités judiciaires initiées par le Centre de Formation Judiciaire dont la mission était également de surveiller les pratiques et de décliner, avec l’appui de toutes les Directions techniques du Ministère de la Justice, des </w:t>
      </w:r>
      <w:r w:rsidRPr="00863D9B">
        <w:lastRenderedPageBreak/>
        <w:t>activités pédagogiques pour l’amélioration et l’accompagnement des réformes et de la Jurisprudence produite.</w:t>
      </w:r>
    </w:p>
    <w:p w:rsidR="00AA255B" w:rsidRDefault="00AA255B" w:rsidP="00AA255B">
      <w:pPr>
        <w:spacing w:line="360" w:lineRule="auto"/>
        <w:jc w:val="both"/>
      </w:pPr>
    </w:p>
    <w:p w:rsidR="00D07BE6" w:rsidRPr="00863D9B" w:rsidRDefault="00D07BE6" w:rsidP="00AA255B">
      <w:pPr>
        <w:spacing w:line="360" w:lineRule="auto"/>
        <w:jc w:val="both"/>
      </w:pPr>
      <w:r w:rsidRPr="00863D9B">
        <w:t>Revenant sur l’objectif de la rencontre, le Directeur du CFJ a souligné que cette journée de réflexion était le résultat du constat de la recrudescence des nullités devant les Chambres criminelles et la disparité des décisions de Justice y afférentes, d’où la nécessité non seulement, d’une plus grande attention des Juges d’instruction pour éviter des exceptions fatales mais aussi et surtout d’un échange des praticiens sur les bonnes pratiques dans les différentes Juridictions du ressort de la Cour d’Appel de Dakar pour apprécier les différents cas et harmoniser l’interprétation des textes.</w:t>
      </w:r>
    </w:p>
    <w:p w:rsidR="00AA255B" w:rsidRDefault="00AA255B" w:rsidP="00AA255B">
      <w:pPr>
        <w:spacing w:line="360" w:lineRule="auto"/>
        <w:jc w:val="both"/>
      </w:pPr>
    </w:p>
    <w:p w:rsidR="00D07BE6" w:rsidRPr="00863D9B" w:rsidRDefault="00D07BE6" w:rsidP="00AA255B">
      <w:pPr>
        <w:spacing w:line="360" w:lineRule="auto"/>
        <w:jc w:val="both"/>
      </w:pPr>
      <w:r w:rsidRPr="00863D9B">
        <w:t>Après ce discours du Directeur du CFJ, les travaux ont été conduits suivant un canevas interactif bien déterminé : il s’agissait d’abord, pour bien comprendre les termes et camper le sujet de la rencontre, de procéder à la présentation par deux Substituts généraux, d’exposés (théorique et pratique) sur la typologie des nullités rencontrées dans les audiences criminelles et les diff</w:t>
      </w:r>
      <w:r>
        <w:t xml:space="preserve">érentes réponses des Magistrats, </w:t>
      </w:r>
      <w:r w:rsidRPr="00863D9B">
        <w:t>avant d’entamer un débat animé de questions dont l’essentiel a été retenu comme constituant une piste de réflexion ou des recommandations en vue des réformes à intervenir.</w:t>
      </w:r>
    </w:p>
    <w:p w:rsidR="00AA255B" w:rsidRDefault="00AA255B" w:rsidP="00AA255B">
      <w:pPr>
        <w:spacing w:line="360" w:lineRule="auto"/>
        <w:jc w:val="both"/>
      </w:pPr>
    </w:p>
    <w:p w:rsidR="00D07BE6" w:rsidRPr="00AA255B" w:rsidRDefault="00D07BE6" w:rsidP="00AA255B">
      <w:pPr>
        <w:spacing w:line="360" w:lineRule="auto"/>
        <w:jc w:val="center"/>
        <w:rPr>
          <w:b/>
        </w:rPr>
      </w:pPr>
      <w:r w:rsidRPr="00AA255B">
        <w:rPr>
          <w:b/>
        </w:rPr>
        <w:t>Exposés théoriques de mise à niveau sur le traitement des nullités</w:t>
      </w:r>
    </w:p>
    <w:p w:rsidR="00AA255B" w:rsidRDefault="00AA255B" w:rsidP="00AA255B">
      <w:pPr>
        <w:spacing w:line="360" w:lineRule="auto"/>
        <w:jc w:val="both"/>
      </w:pPr>
    </w:p>
    <w:p w:rsidR="00D07BE6" w:rsidRPr="00863D9B" w:rsidRDefault="00D07BE6" w:rsidP="00AA255B">
      <w:pPr>
        <w:spacing w:line="360" w:lineRule="auto"/>
        <w:jc w:val="both"/>
      </w:pPr>
      <w:r w:rsidRPr="00863D9B">
        <w:t>Pour mieux comprendre le régime général, la typologie des nullités soulevées devant les Chambres criminelles et les réponses des Juges, deux praticiens ont produit, chacun, un exposé axé, d’une part sur les nullités de procédure devant les chambres criminelles (</w:t>
      </w:r>
      <w:r w:rsidRPr="00AA255B">
        <w:t>2-1</w:t>
      </w:r>
      <w:r w:rsidRPr="00863D9B">
        <w:t>) et sur l’état de la jurisprudence relative à ces nullités dans le ressort de Dakar (</w:t>
      </w:r>
      <w:r w:rsidRPr="00AA255B">
        <w:t>2-2</w:t>
      </w:r>
      <w:r w:rsidRPr="00863D9B">
        <w:t>).</w:t>
      </w:r>
    </w:p>
    <w:p w:rsidR="00AA255B" w:rsidRDefault="00D07BE6" w:rsidP="00AA255B">
      <w:pPr>
        <w:spacing w:line="360" w:lineRule="auto"/>
        <w:jc w:val="center"/>
        <w:rPr>
          <w:b/>
        </w:rPr>
      </w:pPr>
      <w:r w:rsidRPr="00AA255B">
        <w:rPr>
          <w:b/>
        </w:rPr>
        <w:t>Etude sur la question des nullités devant les Chambres criminelles</w:t>
      </w:r>
    </w:p>
    <w:p w:rsidR="00D07BE6" w:rsidRPr="00AA255B" w:rsidRDefault="00D07BE6" w:rsidP="00AA255B">
      <w:pPr>
        <w:spacing w:line="360" w:lineRule="auto"/>
        <w:rPr>
          <w:b/>
        </w:rPr>
      </w:pPr>
      <w:r w:rsidRPr="00863D9B">
        <w:t>Cette thématique a été présentée par le Substitut Général Cheikh DIAKHOUMPA.</w:t>
      </w:r>
    </w:p>
    <w:p w:rsidR="00D07BE6" w:rsidRDefault="00D07BE6" w:rsidP="00AA255B">
      <w:pPr>
        <w:spacing w:line="360" w:lineRule="auto"/>
        <w:jc w:val="both"/>
      </w:pPr>
      <w:r w:rsidRPr="00863D9B">
        <w:t>Dans son exposé, monsieur DIAKHOUMPA, après avoir rappelé l’importance de la forme dans le traitement des procédures criminelles, a procédé à un rappel des différents types de nullité soulevées à l’audience criminelle (</w:t>
      </w:r>
      <w:r w:rsidRPr="00AA255B">
        <w:t>A</w:t>
      </w:r>
      <w:r w:rsidRPr="00863D9B">
        <w:t>) avant d’évoquer les techniques de sauvegarde des procédures encourant l’annulation (</w:t>
      </w:r>
      <w:r w:rsidRPr="00AA255B">
        <w:t>B</w:t>
      </w:r>
      <w:r w:rsidRPr="00863D9B">
        <w:t>).</w:t>
      </w:r>
    </w:p>
    <w:p w:rsidR="00B553F4" w:rsidRPr="00863D9B" w:rsidRDefault="00B553F4" w:rsidP="00AA255B">
      <w:pPr>
        <w:spacing w:line="360" w:lineRule="auto"/>
        <w:jc w:val="both"/>
      </w:pPr>
    </w:p>
    <w:p w:rsidR="00D07BE6" w:rsidRPr="00AA255B" w:rsidRDefault="00D07BE6" w:rsidP="00AA255B">
      <w:pPr>
        <w:spacing w:line="360" w:lineRule="auto"/>
        <w:jc w:val="center"/>
        <w:rPr>
          <w:b/>
        </w:rPr>
      </w:pPr>
      <w:r w:rsidRPr="00AA255B">
        <w:rPr>
          <w:b/>
        </w:rPr>
        <w:lastRenderedPageBreak/>
        <w:t>Typologie des nullités généralement évoquées à l’audience criminelle</w:t>
      </w:r>
    </w:p>
    <w:p w:rsidR="00D07BE6" w:rsidRPr="00863D9B" w:rsidRDefault="00D07BE6" w:rsidP="00AA255B">
      <w:pPr>
        <w:spacing w:line="360" w:lineRule="auto"/>
        <w:jc w:val="both"/>
      </w:pPr>
      <w:r w:rsidRPr="00863D9B">
        <w:t>Dans son exposé, monsieur DIAKHOUMPA a distingué les nullités textuelles caractérisées notamment par leur automaticité (</w:t>
      </w:r>
      <w:r w:rsidRPr="00AA255B">
        <w:t>a</w:t>
      </w:r>
      <w:r w:rsidRPr="00863D9B">
        <w:t>) de celles dites substantielles (</w:t>
      </w:r>
      <w:r w:rsidRPr="00AA255B">
        <w:t>b</w:t>
      </w:r>
      <w:r w:rsidRPr="00863D9B">
        <w:t>).</w:t>
      </w:r>
    </w:p>
    <w:p w:rsidR="00D07BE6" w:rsidRPr="00AA255B" w:rsidRDefault="00D07BE6" w:rsidP="00AA255B">
      <w:pPr>
        <w:spacing w:line="360" w:lineRule="auto"/>
        <w:jc w:val="center"/>
        <w:rPr>
          <w:b/>
        </w:rPr>
      </w:pPr>
      <w:r w:rsidRPr="00AA255B">
        <w:rPr>
          <w:b/>
        </w:rPr>
        <w:t>Les nullités textuelles</w:t>
      </w:r>
    </w:p>
    <w:p w:rsidR="00D07BE6" w:rsidRPr="00863D9B" w:rsidRDefault="00D07BE6" w:rsidP="00AA255B">
      <w:pPr>
        <w:spacing w:line="360" w:lineRule="auto"/>
        <w:jc w:val="both"/>
      </w:pPr>
      <w:r w:rsidRPr="00863D9B">
        <w:t>Elles varient, selon l’exposant suivant les étapes de la procédure criminelle et sont consacrées aussi bien au niveau de la phase policière qu’au stade de l’instruction.</w:t>
      </w:r>
    </w:p>
    <w:p w:rsidR="00D07BE6" w:rsidRPr="00AA255B" w:rsidRDefault="00D07BE6" w:rsidP="00AA255B">
      <w:pPr>
        <w:spacing w:line="360" w:lineRule="auto"/>
        <w:jc w:val="center"/>
        <w:rPr>
          <w:b/>
        </w:rPr>
      </w:pPr>
      <w:r w:rsidRPr="00AA255B">
        <w:rPr>
          <w:b/>
        </w:rPr>
        <w:t>Les nullités de la phase policières</w:t>
      </w:r>
    </w:p>
    <w:p w:rsidR="00D07BE6" w:rsidRPr="00863D9B" w:rsidRDefault="00D07BE6" w:rsidP="00AA255B">
      <w:pPr>
        <w:spacing w:line="360" w:lineRule="auto"/>
        <w:jc w:val="both"/>
      </w:pPr>
      <w:r w:rsidRPr="00863D9B">
        <w:t>Il s’agit notamment des formalités prescrites par les articles 51 (perquisition), 55, 55 ter (durée légale de la garde-à-vue et assistance d’un conseil dès l’interpellation) et 57 alinéa 2 du code de procédure pénale, par le Règlement n</w:t>
      </w:r>
      <w:r w:rsidRPr="00AA255B">
        <w:t>o</w:t>
      </w:r>
      <w:r w:rsidRPr="00863D9B">
        <w:t xml:space="preserve"> 5 de l’UEMOA et par d’autres textes de lois spécifiques que l’Officier de Police judiciaire doit respecter sous peine de nullité du procès-verbal d’enquête, fondement des poursuites.</w:t>
      </w:r>
    </w:p>
    <w:p w:rsidR="00D07BE6" w:rsidRPr="00AA255B" w:rsidRDefault="00D07BE6" w:rsidP="00AA255B">
      <w:pPr>
        <w:spacing w:line="360" w:lineRule="auto"/>
        <w:jc w:val="center"/>
        <w:rPr>
          <w:b/>
        </w:rPr>
      </w:pPr>
      <w:r w:rsidRPr="00AA255B">
        <w:rPr>
          <w:b/>
        </w:rPr>
        <w:t>Les nullités de l’instruction</w:t>
      </w:r>
    </w:p>
    <w:p w:rsidR="00D07BE6" w:rsidRPr="00863D9B" w:rsidRDefault="00D07BE6" w:rsidP="00AA255B">
      <w:pPr>
        <w:spacing w:line="360" w:lineRule="auto"/>
        <w:jc w:val="both"/>
      </w:pPr>
      <w:r w:rsidRPr="00863D9B">
        <w:t xml:space="preserve">Le siège de ces nullités se trouve aux articles 101 et 105 du code de procédure pénale prévoyant l’assistance d’un conseil aussi bien au stade de l’inculpation qu’au niveau de l’interrogatoire au fond. L’exposant a montré, exemples précis à l’appui, que le Juge d’instruction est tenu au respect des formalités prescrites à ces articles à peine de nullité de l’acte et de la procédure ultérieure (Cf. TGI Thiès, Affaire </w:t>
      </w:r>
      <w:proofErr w:type="spellStart"/>
      <w:r w:rsidRPr="00863D9B">
        <w:t>Ismaila</w:t>
      </w:r>
      <w:proofErr w:type="spellEnd"/>
      <w:r w:rsidRPr="00863D9B">
        <w:t xml:space="preserve"> BARRY et </w:t>
      </w:r>
      <w:proofErr w:type="spellStart"/>
      <w:r w:rsidRPr="00863D9B">
        <w:t>Mouhamedou</w:t>
      </w:r>
      <w:proofErr w:type="spellEnd"/>
      <w:r w:rsidRPr="00863D9B">
        <w:t xml:space="preserve"> CISSE, affaire Abdoulaye THIOUNE et Issa SY, etc.).</w:t>
      </w:r>
    </w:p>
    <w:p w:rsidR="00AA255B" w:rsidRDefault="00AA255B" w:rsidP="00AA255B">
      <w:pPr>
        <w:spacing w:line="360" w:lineRule="auto"/>
        <w:jc w:val="both"/>
      </w:pPr>
    </w:p>
    <w:p w:rsidR="00D07BE6" w:rsidRPr="00863D9B" w:rsidRDefault="00D07BE6" w:rsidP="00AA255B">
      <w:pPr>
        <w:spacing w:line="360" w:lineRule="auto"/>
        <w:jc w:val="both"/>
      </w:pPr>
      <w:r w:rsidRPr="00863D9B">
        <w:t>Après avoir souligné que ces nullités expressément prévues par un texte protègent des formalités jugées essentielles, l’exposant a abordé la question des nullités dites substantielles qui peuvent, cette fois-ci être retenues même en l’absence d’une disposition explicite.</w:t>
      </w:r>
    </w:p>
    <w:p w:rsidR="00D07BE6" w:rsidRPr="00AA255B" w:rsidRDefault="00D07BE6" w:rsidP="00AA255B">
      <w:pPr>
        <w:spacing w:line="360" w:lineRule="auto"/>
        <w:jc w:val="center"/>
        <w:rPr>
          <w:b/>
        </w:rPr>
      </w:pPr>
      <w:r w:rsidRPr="00AA255B">
        <w:rPr>
          <w:b/>
        </w:rPr>
        <w:t>Les nullités substantielles</w:t>
      </w:r>
    </w:p>
    <w:p w:rsidR="00D07BE6" w:rsidRDefault="00D07BE6" w:rsidP="00AA255B">
      <w:pPr>
        <w:spacing w:line="360" w:lineRule="auto"/>
        <w:jc w:val="both"/>
      </w:pPr>
      <w:r w:rsidRPr="00863D9B">
        <w:t xml:space="preserve">Abordant la question des nullités substantielles, l’exposant a montré d’abord que, contrairement au droit civil, il n’y a pas une définition des nullités substantielles en matière pénale en précisant, toutefois, qu’on y range habituellement les nullités d’ordre public et </w:t>
      </w:r>
      <w:r>
        <w:t>cel</w:t>
      </w:r>
      <w:r w:rsidRPr="00863D9B">
        <w:t>les</w:t>
      </w:r>
      <w:r>
        <w:t xml:space="preserve"> liées aux </w:t>
      </w:r>
      <w:r w:rsidRPr="00863D9B">
        <w:t>droits de la défense. Poursuivant, il a évoqué une certaine réticence des Juridictions répressives à admettre la violation de ces formalités au stade de la phase policière contrairement à l’instruction.</w:t>
      </w:r>
    </w:p>
    <w:p w:rsidR="00FA1C28" w:rsidRPr="00863D9B" w:rsidRDefault="00FA1C28" w:rsidP="00AA255B">
      <w:pPr>
        <w:spacing w:line="360" w:lineRule="auto"/>
        <w:jc w:val="both"/>
      </w:pPr>
    </w:p>
    <w:p w:rsidR="00D07BE6" w:rsidRPr="00AA255B" w:rsidRDefault="00D07BE6" w:rsidP="00AA255B">
      <w:pPr>
        <w:spacing w:line="360" w:lineRule="auto"/>
        <w:jc w:val="center"/>
        <w:rPr>
          <w:b/>
        </w:rPr>
      </w:pPr>
      <w:r w:rsidRPr="00AA255B">
        <w:rPr>
          <w:b/>
        </w:rPr>
        <w:lastRenderedPageBreak/>
        <w:t>Timidité de la jurisprudence relative aux nullités substantielles de l’enquête</w:t>
      </w:r>
    </w:p>
    <w:p w:rsidR="00D07BE6" w:rsidRPr="00863D9B" w:rsidRDefault="00D07BE6" w:rsidP="00AA255B">
      <w:pPr>
        <w:spacing w:line="360" w:lineRule="auto"/>
        <w:jc w:val="both"/>
      </w:pPr>
      <w:r w:rsidRPr="00863D9B">
        <w:t xml:space="preserve">L’exposant a évoqué, ici, exemples à l’appui, un rejet quasi systématique des nullités consacrées par l’article 166 du code de procédure pénale (affaire Idrissa SECK, Affaire Cheikh DIOP alias </w:t>
      </w:r>
      <w:proofErr w:type="spellStart"/>
      <w:r w:rsidRPr="00863D9B">
        <w:t>Gattuso</w:t>
      </w:r>
      <w:proofErr w:type="spellEnd"/>
      <w:r w:rsidRPr="00863D9B">
        <w:t xml:space="preserve"> et autres). L’exposant a expliqué cet état d’esprit des Juges par le fait d’une part, que souvent la recherche de la vérité ne se trouve pas fondamentalement viciée par l’omission de la formalité et, d’autre part, que les victimes de l’abus pouvaient, en vertu de l’article 59 du code de procédure pénale intenter une action contre les Officiers de Police judiciaire.</w:t>
      </w:r>
    </w:p>
    <w:p w:rsidR="00D07BE6" w:rsidRPr="00AA255B" w:rsidRDefault="00D07BE6" w:rsidP="00AA255B">
      <w:pPr>
        <w:spacing w:line="360" w:lineRule="auto"/>
        <w:jc w:val="center"/>
        <w:rPr>
          <w:b/>
        </w:rPr>
      </w:pPr>
      <w:r w:rsidRPr="00AA255B">
        <w:rPr>
          <w:b/>
        </w:rPr>
        <w:t>Sanction de l’omission des formalités substantielles au niveau de l’instruction</w:t>
      </w:r>
    </w:p>
    <w:p w:rsidR="00D07BE6" w:rsidRPr="00863D9B" w:rsidRDefault="00D07BE6" w:rsidP="00AA255B">
      <w:pPr>
        <w:spacing w:line="360" w:lineRule="auto"/>
        <w:jc w:val="both"/>
      </w:pPr>
      <w:r w:rsidRPr="00863D9B">
        <w:t xml:space="preserve">Dans ce chapitre, l’exposant a montré que des juridictions ont eu à annuler des procédures pour violations de formalités dont l’accomplissement ne pouvait être négligé par le Juge d’instruction : c’est le cas notamment de l’omission par le Juge de notifier à l’inculpé le montant des sommes dues en matière de détournement de deniers publics pour lui permettre de cautionner ou de rembourser (affaire Georges LAYOUSSE) ; c’est également l’hypothèse de la prise par le juge d’une ordonnance de règlement sans les réquisitions du Ministère public (affaire </w:t>
      </w:r>
      <w:proofErr w:type="spellStart"/>
      <w:r w:rsidRPr="00863D9B">
        <w:t>Kamoko</w:t>
      </w:r>
      <w:proofErr w:type="spellEnd"/>
      <w:r w:rsidRPr="00863D9B">
        <w:t xml:space="preserve"> CISSE et </w:t>
      </w:r>
      <w:proofErr w:type="spellStart"/>
      <w:r w:rsidRPr="00863D9B">
        <w:t>Pédro</w:t>
      </w:r>
      <w:proofErr w:type="spellEnd"/>
      <w:r w:rsidRPr="00863D9B">
        <w:t xml:space="preserve"> MANE)  ou encore d’une inculpation en dehors de la compétence matérielle (affaire </w:t>
      </w:r>
      <w:proofErr w:type="spellStart"/>
      <w:r w:rsidRPr="00863D9B">
        <w:t>Badara</w:t>
      </w:r>
      <w:proofErr w:type="spellEnd"/>
      <w:r w:rsidRPr="00863D9B">
        <w:t xml:space="preserve"> FALL), etc.</w:t>
      </w:r>
    </w:p>
    <w:p w:rsidR="00AA255B" w:rsidRDefault="00AA255B" w:rsidP="00AA255B">
      <w:pPr>
        <w:spacing w:line="360" w:lineRule="auto"/>
        <w:jc w:val="both"/>
      </w:pPr>
    </w:p>
    <w:p w:rsidR="00D07BE6" w:rsidRPr="00863D9B" w:rsidRDefault="00D07BE6" w:rsidP="00AA255B">
      <w:pPr>
        <w:spacing w:line="360" w:lineRule="auto"/>
        <w:jc w:val="both"/>
      </w:pPr>
      <w:r w:rsidRPr="00863D9B">
        <w:t>Après cette présentation sur les différents types de nullités soulevées à l’audience, l’exposant a abordé les techniques de sauvegarde des procédures encourant l’annulation.</w:t>
      </w:r>
    </w:p>
    <w:p w:rsidR="00D07BE6" w:rsidRPr="00AA255B" w:rsidRDefault="00D07BE6" w:rsidP="00AA255B">
      <w:pPr>
        <w:spacing w:line="360" w:lineRule="auto"/>
        <w:jc w:val="center"/>
        <w:rPr>
          <w:b/>
        </w:rPr>
      </w:pPr>
      <w:r w:rsidRPr="00AA255B">
        <w:rPr>
          <w:b/>
        </w:rPr>
        <w:t>Les techniques de sauvegarde des procédures encourant l’annulation</w:t>
      </w:r>
    </w:p>
    <w:p w:rsidR="00D07BE6" w:rsidRPr="00863D9B" w:rsidRDefault="00D07BE6" w:rsidP="00AA255B">
      <w:pPr>
        <w:spacing w:line="360" w:lineRule="auto"/>
        <w:jc w:val="both"/>
      </w:pPr>
      <w:r w:rsidRPr="00863D9B">
        <w:t>A ce niveau l’exposant a distingué les techniques de réparation (</w:t>
      </w:r>
      <w:r w:rsidRPr="00AA255B">
        <w:t>a</w:t>
      </w:r>
      <w:r w:rsidRPr="00863D9B">
        <w:t>) de celles dites de neutralisation (</w:t>
      </w:r>
      <w:r w:rsidRPr="00AA255B">
        <w:t>b</w:t>
      </w:r>
      <w:r w:rsidRPr="00863D9B">
        <w:t>) des nullités.</w:t>
      </w:r>
    </w:p>
    <w:p w:rsidR="00D07BE6" w:rsidRPr="00AA255B" w:rsidRDefault="00D07BE6" w:rsidP="00AA255B">
      <w:pPr>
        <w:spacing w:line="360" w:lineRule="auto"/>
        <w:jc w:val="center"/>
        <w:rPr>
          <w:b/>
        </w:rPr>
      </w:pPr>
      <w:r w:rsidRPr="00AA255B">
        <w:rPr>
          <w:b/>
        </w:rPr>
        <w:t>Les techniques de réparation</w:t>
      </w:r>
    </w:p>
    <w:p w:rsidR="00D07BE6" w:rsidRPr="00863D9B" w:rsidRDefault="00D07BE6" w:rsidP="00AA255B">
      <w:pPr>
        <w:spacing w:line="360" w:lineRule="auto"/>
        <w:jc w:val="both"/>
      </w:pPr>
      <w:r w:rsidRPr="00863D9B">
        <w:t>Il s’agit de la renonciation et de la réfaction.</w:t>
      </w:r>
    </w:p>
    <w:p w:rsidR="00D07BE6" w:rsidRPr="00AA255B" w:rsidRDefault="00D07BE6" w:rsidP="00AA255B">
      <w:pPr>
        <w:pStyle w:val="Paragraphedeliste"/>
        <w:spacing w:line="360" w:lineRule="auto"/>
        <w:jc w:val="center"/>
        <w:rPr>
          <w:b/>
        </w:rPr>
      </w:pPr>
      <w:r w:rsidRPr="00AA255B">
        <w:rPr>
          <w:b/>
        </w:rPr>
        <w:t>La renonciation</w:t>
      </w:r>
    </w:p>
    <w:p w:rsidR="00D07BE6" w:rsidRDefault="00D07BE6" w:rsidP="00AA255B">
      <w:pPr>
        <w:spacing w:line="360" w:lineRule="auto"/>
        <w:jc w:val="both"/>
      </w:pPr>
      <w:r w:rsidRPr="00863D9B">
        <w:t>Dans cette hypothèse, l’inculpé renonce expressément à se prévaloir de la nullité résultant, par exemple, de l’inobservation d’une formalité prescrite à peine de nullité (article 105, 164 CPP, etc.).</w:t>
      </w:r>
    </w:p>
    <w:p w:rsidR="00FA1C28" w:rsidRDefault="00FA1C28" w:rsidP="00AA255B">
      <w:pPr>
        <w:spacing w:line="360" w:lineRule="auto"/>
        <w:jc w:val="both"/>
      </w:pPr>
    </w:p>
    <w:p w:rsidR="00FA1C28" w:rsidRDefault="00FA1C28" w:rsidP="00AA255B">
      <w:pPr>
        <w:spacing w:line="360" w:lineRule="auto"/>
        <w:jc w:val="both"/>
      </w:pPr>
    </w:p>
    <w:p w:rsidR="00FA1C28" w:rsidRPr="00863D9B" w:rsidRDefault="00FA1C28" w:rsidP="00AA255B">
      <w:pPr>
        <w:spacing w:line="360" w:lineRule="auto"/>
        <w:jc w:val="both"/>
      </w:pPr>
    </w:p>
    <w:p w:rsidR="00D07BE6" w:rsidRPr="00AA255B" w:rsidRDefault="00D07BE6" w:rsidP="00AA255B">
      <w:pPr>
        <w:spacing w:line="360" w:lineRule="auto"/>
        <w:jc w:val="center"/>
        <w:rPr>
          <w:b/>
        </w:rPr>
      </w:pPr>
      <w:r w:rsidRPr="00AA255B">
        <w:rPr>
          <w:b/>
        </w:rPr>
        <w:lastRenderedPageBreak/>
        <w:t>La réfaction de l’acte irrégulier (articles 147, 165 CPP).</w:t>
      </w:r>
    </w:p>
    <w:p w:rsidR="00D07BE6" w:rsidRPr="00863D9B" w:rsidRDefault="00D07BE6" w:rsidP="00AA255B">
      <w:pPr>
        <w:spacing w:line="360" w:lineRule="auto"/>
        <w:jc w:val="both"/>
      </w:pPr>
      <w:r w:rsidRPr="00863D9B">
        <w:t>Dans ces cas précis, le Juge d’instruction qui constate qu’un acte de l’instruction est entaché de nullité, saisit, par voie de requête, la Chambre d’accusation aux fins d’annulation de l’acte vicié (Cf. affaire Jean MENDY).</w:t>
      </w:r>
    </w:p>
    <w:p w:rsidR="00D07BE6" w:rsidRPr="00AA255B" w:rsidRDefault="00D07BE6" w:rsidP="00AA255B">
      <w:pPr>
        <w:spacing w:line="360" w:lineRule="auto"/>
        <w:jc w:val="center"/>
        <w:rPr>
          <w:b/>
        </w:rPr>
      </w:pPr>
      <w:r w:rsidRPr="00AA255B">
        <w:rPr>
          <w:b/>
        </w:rPr>
        <w:t>Les techniques de neutralisation</w:t>
      </w:r>
    </w:p>
    <w:p w:rsidR="00D07BE6" w:rsidRPr="00863D9B" w:rsidRDefault="00D07BE6" w:rsidP="00AA255B">
      <w:pPr>
        <w:spacing w:line="360" w:lineRule="auto"/>
        <w:jc w:val="both"/>
      </w:pPr>
      <w:r w:rsidRPr="00863D9B">
        <w:t>Il s’agit de la purge des vices et de l’anéantissement de l’acte irrégulier.</w:t>
      </w:r>
    </w:p>
    <w:p w:rsidR="00D07BE6" w:rsidRPr="00863D9B" w:rsidRDefault="00D07BE6" w:rsidP="00AA255B">
      <w:pPr>
        <w:spacing w:line="360" w:lineRule="auto"/>
        <w:jc w:val="both"/>
      </w:pPr>
      <w:r w:rsidRPr="00AA255B">
        <w:t>La purge des vices</w:t>
      </w:r>
      <w:r w:rsidRPr="00863D9B">
        <w:t xml:space="preserve"> a pour effet de limiter les procédures dilatoires relativement à des erreurs purement formelles. Ainsi, à la faveur de la survivance de l’article 557 du code de procédure pénale, lorsque la Chambre criminelle a été saisie par un arrêt de renvoi de la Chambre d’accusation, tous les vices antérieurs entachant l’instruction sont purgés.</w:t>
      </w:r>
    </w:p>
    <w:p w:rsidR="00AA255B" w:rsidRDefault="00AA255B" w:rsidP="00AA255B">
      <w:pPr>
        <w:spacing w:line="360" w:lineRule="auto"/>
        <w:jc w:val="both"/>
      </w:pPr>
    </w:p>
    <w:p w:rsidR="00D07BE6" w:rsidRPr="00863D9B" w:rsidRDefault="00D07BE6" w:rsidP="00AA255B">
      <w:pPr>
        <w:spacing w:line="360" w:lineRule="auto"/>
        <w:jc w:val="both"/>
      </w:pPr>
      <w:r w:rsidRPr="00AA255B">
        <w:t>L’anéantissement ou l’invalidation</w:t>
      </w:r>
      <w:r w:rsidRPr="00863D9B">
        <w:t xml:space="preserve"> </w:t>
      </w:r>
      <w:r w:rsidRPr="00AA255B">
        <w:t>de l’acte irrégulier</w:t>
      </w:r>
      <w:r w:rsidRPr="00863D9B">
        <w:t xml:space="preserve"> se conçoit lorsque le Procureur de la République, le Juge d’instruction ou les parties saisissent la Chambre la Chambre d’accusation, avant le règlement de la procédure, d’une requête aux fins d’annulation des actes viciés.</w:t>
      </w:r>
    </w:p>
    <w:p w:rsidR="00AA255B" w:rsidRDefault="00AA255B" w:rsidP="00AA255B">
      <w:pPr>
        <w:spacing w:line="360" w:lineRule="auto"/>
        <w:jc w:val="both"/>
      </w:pPr>
    </w:p>
    <w:p w:rsidR="00D07BE6" w:rsidRPr="00863D9B" w:rsidRDefault="00D07BE6" w:rsidP="00AA255B">
      <w:pPr>
        <w:spacing w:line="360" w:lineRule="auto"/>
        <w:jc w:val="both"/>
      </w:pPr>
      <w:r w:rsidRPr="00863D9B">
        <w:t>A la suite de ce rappel théorique sur les nullités et les procédures de sauvegarde, il a été question d’un examen de la jurisprudence avec des cas concrets relatifs au traitement des procédures entachées d’irrégularités.</w:t>
      </w:r>
    </w:p>
    <w:p w:rsidR="00D07BE6" w:rsidRPr="00AA255B" w:rsidRDefault="00D07BE6" w:rsidP="00AA255B">
      <w:pPr>
        <w:spacing w:line="360" w:lineRule="auto"/>
        <w:jc w:val="both"/>
      </w:pPr>
      <w:r w:rsidRPr="00AA255B">
        <w:t>L’état de la jurisprudence des chambres criminelles du ressort de Dakar sur les nullités de procédures</w:t>
      </w:r>
    </w:p>
    <w:p w:rsidR="00D07BE6" w:rsidRPr="00863D9B" w:rsidRDefault="00D07BE6" w:rsidP="00AA255B">
      <w:pPr>
        <w:spacing w:line="360" w:lineRule="auto"/>
        <w:jc w:val="both"/>
      </w:pPr>
      <w:r w:rsidRPr="00863D9B">
        <w:t xml:space="preserve">Cette thématique dont l’objectif était surtout de voir, à partir d’exemples pratiques, l’attitude des Juges face aux exceptions de nullité, a été présentée par le Substitut général  près la Cour d’Appel de Dakar </w:t>
      </w:r>
      <w:proofErr w:type="spellStart"/>
      <w:r w:rsidRPr="00863D9B">
        <w:t>Madiaw</w:t>
      </w:r>
      <w:proofErr w:type="spellEnd"/>
      <w:r w:rsidRPr="00863D9B">
        <w:t xml:space="preserve"> DIAW. </w:t>
      </w:r>
    </w:p>
    <w:p w:rsidR="00AA255B" w:rsidRDefault="00AA255B" w:rsidP="00AA255B">
      <w:pPr>
        <w:spacing w:line="360" w:lineRule="auto"/>
        <w:jc w:val="both"/>
      </w:pPr>
    </w:p>
    <w:p w:rsidR="00D07BE6" w:rsidRPr="00863D9B" w:rsidRDefault="00D07BE6" w:rsidP="00AA255B">
      <w:pPr>
        <w:spacing w:line="360" w:lineRule="auto"/>
        <w:jc w:val="both"/>
      </w:pPr>
      <w:r w:rsidRPr="00863D9B">
        <w:t>Après avoir rappelé les différentes réformes législatives ayant abouti à l’institution des Chambres criminelles (lois n</w:t>
      </w:r>
      <w:r w:rsidRPr="00AA255B">
        <w:t>o</w:t>
      </w:r>
      <w:r w:rsidRPr="00863D9B">
        <w:t xml:space="preserve"> 2008-50 du 23 septembre 2008 ayant permis, pour la première aux Juges d’instruction de saisir directement la Cour d’Assise par une ordonnance de mise en accusation, 2014-28 du 03 novembre 2014 supprimant les Cour d’assise et instituant les Chambres criminelles statuant par sessions et, enfin, la loi n</w:t>
      </w:r>
      <w:r w:rsidRPr="00AA255B">
        <w:t>o</w:t>
      </w:r>
      <w:r w:rsidRPr="00863D9B">
        <w:t xml:space="preserve"> 2016-30 du 8 novembre 2016 instituant la permanence des audiences criminelles), l’exposant a procédé à la présentation de cas pratiques </w:t>
      </w:r>
      <w:r w:rsidRPr="00AA255B">
        <w:t xml:space="preserve">(A) </w:t>
      </w:r>
      <w:r w:rsidRPr="00863D9B">
        <w:t xml:space="preserve">puis à une appréciation de la jurisprudence produite </w:t>
      </w:r>
      <w:r w:rsidRPr="00AA255B">
        <w:t>(B)</w:t>
      </w:r>
      <w:r w:rsidRPr="00863D9B">
        <w:t>.</w:t>
      </w:r>
    </w:p>
    <w:p w:rsidR="00D07BE6" w:rsidRPr="00AA255B" w:rsidRDefault="00D07BE6" w:rsidP="00AA255B">
      <w:pPr>
        <w:pStyle w:val="Paragraphedeliste"/>
        <w:spacing w:line="360" w:lineRule="auto"/>
        <w:jc w:val="center"/>
        <w:rPr>
          <w:b/>
        </w:rPr>
      </w:pPr>
      <w:r w:rsidRPr="00AA255B">
        <w:rPr>
          <w:b/>
        </w:rPr>
        <w:lastRenderedPageBreak/>
        <w:t>Exposé de quelques cas pratiques rencontrés</w:t>
      </w:r>
    </w:p>
    <w:p w:rsidR="00D07BE6" w:rsidRPr="00863D9B" w:rsidRDefault="00D07BE6" w:rsidP="00AA255B">
      <w:pPr>
        <w:spacing w:line="360" w:lineRule="auto"/>
        <w:jc w:val="both"/>
      </w:pPr>
      <w:r w:rsidRPr="00863D9B">
        <w:t xml:space="preserve">Dans cette partie, l’exposant a présenté des cas de nullité rencontrés par la chambre criminelle de Dakar entre 2016 et 2017. Deux cas d’annulation pour violation par le Juge d’instruction de l’article 101 du code de procédure pénale ont notamment retenu l’attention. La première concerne Baye </w:t>
      </w:r>
      <w:proofErr w:type="spellStart"/>
      <w:r w:rsidRPr="00863D9B">
        <w:t>Modou</w:t>
      </w:r>
      <w:proofErr w:type="spellEnd"/>
      <w:r w:rsidRPr="00863D9B">
        <w:t xml:space="preserve"> FALL alias Boy </w:t>
      </w:r>
      <w:proofErr w:type="spellStart"/>
      <w:r w:rsidRPr="00863D9B">
        <w:t>Djinné</w:t>
      </w:r>
      <w:proofErr w:type="spellEnd"/>
      <w:r w:rsidRPr="00863D9B">
        <w:t xml:space="preserve"> (audience du 07 aout 2017). Dans cette affaire, la Chambre criminelle a annulé le procès-verbal d’interrogatoire de première comparution duquel il ne résultait</w:t>
      </w:r>
      <w:r>
        <w:t xml:space="preserve"> pas </w:t>
      </w:r>
      <w:r w:rsidRPr="00863D9B">
        <w:t xml:space="preserve">que l’inculpation a été faite en présence du conseil de l’inculpé. </w:t>
      </w:r>
    </w:p>
    <w:p w:rsidR="00AA255B" w:rsidRDefault="00AA255B" w:rsidP="00AA255B">
      <w:pPr>
        <w:spacing w:line="360" w:lineRule="auto"/>
        <w:jc w:val="both"/>
      </w:pPr>
    </w:p>
    <w:p w:rsidR="00D07BE6" w:rsidRPr="00863D9B" w:rsidRDefault="00D07BE6" w:rsidP="00AA255B">
      <w:pPr>
        <w:spacing w:line="360" w:lineRule="auto"/>
        <w:jc w:val="both"/>
      </w:pPr>
      <w:r w:rsidRPr="00863D9B">
        <w:t xml:space="preserve">La seconde affaire concerne les nommés Samba </w:t>
      </w:r>
      <w:proofErr w:type="spellStart"/>
      <w:r w:rsidRPr="00863D9B">
        <w:t>Sarr</w:t>
      </w:r>
      <w:proofErr w:type="spellEnd"/>
      <w:r w:rsidRPr="00863D9B">
        <w:t xml:space="preserve"> DIA, Abdoulaye FALL et Amadou NDIAYE (audience du 21 aout 2017). Ici, la Chambre criminelle a procédé à une annulation partielle au profit de Samba </w:t>
      </w:r>
      <w:proofErr w:type="spellStart"/>
      <w:r w:rsidRPr="00863D9B">
        <w:t>Sarr</w:t>
      </w:r>
      <w:proofErr w:type="spellEnd"/>
      <w:r w:rsidRPr="00863D9B">
        <w:t xml:space="preserve"> DIA dont les droits reconnus à l’article </w:t>
      </w:r>
      <w:r w:rsidRPr="00AA255B">
        <w:t>101</w:t>
      </w:r>
      <w:r w:rsidRPr="00863D9B">
        <w:t xml:space="preserve"> précité n’ont pas été respectés.</w:t>
      </w:r>
    </w:p>
    <w:p w:rsidR="00AA255B" w:rsidRDefault="00AA255B" w:rsidP="00AA255B">
      <w:pPr>
        <w:spacing w:line="360" w:lineRule="auto"/>
        <w:jc w:val="both"/>
      </w:pPr>
    </w:p>
    <w:p w:rsidR="00D07BE6" w:rsidRPr="00863D9B" w:rsidRDefault="00D07BE6" w:rsidP="00AA255B">
      <w:pPr>
        <w:spacing w:line="360" w:lineRule="auto"/>
        <w:jc w:val="both"/>
      </w:pPr>
      <w:r w:rsidRPr="00863D9B">
        <w:t xml:space="preserve">Au chapitre de l’article </w:t>
      </w:r>
      <w:r w:rsidRPr="00AA255B">
        <w:t>105</w:t>
      </w:r>
      <w:r w:rsidRPr="00863D9B">
        <w:t xml:space="preserve"> du code de procédure pénale, l’exposant a également présenté deux jugements de la Chambre criminelle annulant la procédure pour violation des droits de la défense. Il s’agit des affaires concernant Mamadou </w:t>
      </w:r>
      <w:proofErr w:type="spellStart"/>
      <w:r w:rsidRPr="00863D9B">
        <w:t>Mafall</w:t>
      </w:r>
      <w:proofErr w:type="spellEnd"/>
      <w:r w:rsidRPr="00863D9B">
        <w:t xml:space="preserve"> THIAM (audience du 11 septembre 2017) et Emmanuel DASSYLVA (audience du 03 octobre 2017) où la Chambre a annulé en constatant que les inculpés avaient été entendus au fond sans la présence de leurs conseils dument avisés. </w:t>
      </w:r>
    </w:p>
    <w:p w:rsidR="00D07BE6" w:rsidRPr="00AA255B" w:rsidRDefault="00D07BE6" w:rsidP="00AA255B">
      <w:pPr>
        <w:pStyle w:val="Paragraphedeliste"/>
        <w:spacing w:line="360" w:lineRule="auto"/>
        <w:jc w:val="center"/>
        <w:rPr>
          <w:b/>
        </w:rPr>
      </w:pPr>
      <w:r w:rsidRPr="00AA255B">
        <w:rPr>
          <w:b/>
        </w:rPr>
        <w:t>Analyse critique des décisions exposées</w:t>
      </w:r>
    </w:p>
    <w:p w:rsidR="00D07BE6" w:rsidRPr="00863D9B" w:rsidRDefault="00D07BE6" w:rsidP="00AA255B">
      <w:pPr>
        <w:spacing w:line="360" w:lineRule="auto"/>
        <w:jc w:val="both"/>
      </w:pPr>
      <w:r w:rsidRPr="00863D9B">
        <w:t xml:space="preserve">Procédant à l’analyse des décisions annulant, sur la base de l’article 164 du code de procédure pénale, la procédure pour omission des formalités prescrites, à peine de nullité, par les articles 101 et 105 précités, le présentateur a sollicité un changement de posture du côté de la Chambre criminelle pour une bonne lecture de l’article 105. En effet, dès lors qu’il résultait des procès-verbaux d’interrogatoire au fond que les conseils bien qu’absents avaient été régulièrement convoqués, l’article 105 n’avait pas été violé. </w:t>
      </w:r>
    </w:p>
    <w:p w:rsidR="00AA255B" w:rsidRDefault="00AA255B" w:rsidP="00AA255B">
      <w:pPr>
        <w:spacing w:line="360" w:lineRule="auto"/>
        <w:jc w:val="both"/>
      </w:pPr>
    </w:p>
    <w:p w:rsidR="00D07BE6" w:rsidRPr="00863D9B" w:rsidRDefault="00D07BE6" w:rsidP="00AA255B">
      <w:pPr>
        <w:spacing w:line="360" w:lineRule="auto"/>
        <w:jc w:val="both"/>
      </w:pPr>
      <w:r w:rsidRPr="00863D9B">
        <w:t xml:space="preserve">De même, l’exposant a souligné qu’il est arrivé que la Chambre bien qu’ayant procédé à une annulation partielle (au profit d’un des accusés) n’aille pas jusqu’au bout, se contentant de renvoyer le Ministère public à mieux se pourvoir alors qu’une bonne analyse des textes </w:t>
      </w:r>
      <w:r w:rsidRPr="00863D9B">
        <w:lastRenderedPageBreak/>
        <w:t>commande que la Juridiction puisse retenir et jugés les accusés dont la procédure n’était entaché d’aucun vice.</w:t>
      </w:r>
    </w:p>
    <w:p w:rsidR="00AA255B" w:rsidRDefault="00AA255B" w:rsidP="00AA255B">
      <w:pPr>
        <w:spacing w:line="360" w:lineRule="auto"/>
        <w:jc w:val="both"/>
      </w:pPr>
    </w:p>
    <w:p w:rsidR="00D07BE6" w:rsidRDefault="00D07BE6" w:rsidP="00AA255B">
      <w:pPr>
        <w:spacing w:line="360" w:lineRule="auto"/>
        <w:jc w:val="both"/>
      </w:pPr>
      <w:r w:rsidRPr="00863D9B">
        <w:t>C’est à la suite de ces exposés qu’il a été procédé à un tour de table pour une large discussion sur les différents problèmes rencontrés et les solutions apportées.</w:t>
      </w:r>
    </w:p>
    <w:p w:rsidR="00B553F4" w:rsidRPr="00863D9B" w:rsidRDefault="00B553F4" w:rsidP="00AA255B">
      <w:pPr>
        <w:spacing w:line="360" w:lineRule="auto"/>
        <w:jc w:val="both"/>
      </w:pPr>
    </w:p>
    <w:p w:rsidR="00D07BE6" w:rsidRPr="00AA255B" w:rsidRDefault="00D07BE6" w:rsidP="00AA255B">
      <w:pPr>
        <w:spacing w:line="360" w:lineRule="auto"/>
        <w:jc w:val="center"/>
        <w:rPr>
          <w:b/>
        </w:rPr>
      </w:pPr>
      <w:r w:rsidRPr="00AA255B">
        <w:rPr>
          <w:b/>
        </w:rPr>
        <w:t>Discussion générale et synthèse des travaux</w:t>
      </w:r>
    </w:p>
    <w:p w:rsidR="00D07BE6" w:rsidRPr="00863D9B" w:rsidRDefault="00D07BE6" w:rsidP="00AA255B">
      <w:pPr>
        <w:spacing w:line="360" w:lineRule="auto"/>
        <w:jc w:val="both"/>
      </w:pPr>
      <w:r w:rsidRPr="00863D9B">
        <w:t>Les débats ont porté essentiellement sur l’étendue de la nullité, le caractère substantiel de certaines formalités omises, le problème de la disponibilité des avocats et la transmission des convocations, le délai de traitement des dossiers communiqués au Parquet en vue d’un règlement définitif, la situation de la personne détenue après annulation de la procédure, la reprise par le Ministère public des procédures annulées ainsi que la question de la réparation des dossiers entachés de vice avant l’ordonnance de mise en accusation et de renvoi.</w:t>
      </w:r>
    </w:p>
    <w:p w:rsidR="00AA255B" w:rsidRDefault="00AA255B" w:rsidP="00AA255B">
      <w:pPr>
        <w:spacing w:line="360" w:lineRule="auto"/>
        <w:jc w:val="both"/>
      </w:pPr>
    </w:p>
    <w:p w:rsidR="00D07BE6" w:rsidRPr="00863D9B" w:rsidRDefault="00D07BE6" w:rsidP="00AA255B">
      <w:pPr>
        <w:spacing w:line="360" w:lineRule="auto"/>
        <w:jc w:val="both"/>
      </w:pPr>
      <w:r w:rsidRPr="00863D9B">
        <w:t xml:space="preserve">Prenant la parole, le Substitut général </w:t>
      </w:r>
      <w:proofErr w:type="spellStart"/>
      <w:r w:rsidRPr="00863D9B">
        <w:t>Youssoupha</w:t>
      </w:r>
      <w:proofErr w:type="spellEnd"/>
      <w:r w:rsidRPr="00863D9B">
        <w:t xml:space="preserve"> DIALLO  est revenu sur la portée de l’annulation en montrant, par exemple que ce n’était pas parce qu’un acte de l’instruction était frappé de nullité que toute la procédure devrait s’écrouler à l’audience et que les Juges devraient au cas par cas, décider de l’étendue de l’annulation.</w:t>
      </w:r>
    </w:p>
    <w:p w:rsidR="00AA255B" w:rsidRDefault="00AA255B" w:rsidP="00AA255B">
      <w:pPr>
        <w:spacing w:line="360" w:lineRule="auto"/>
        <w:jc w:val="both"/>
      </w:pPr>
    </w:p>
    <w:p w:rsidR="00D07BE6" w:rsidRPr="00863D9B" w:rsidRDefault="00D07BE6" w:rsidP="00AA255B">
      <w:pPr>
        <w:spacing w:line="360" w:lineRule="auto"/>
        <w:jc w:val="both"/>
      </w:pPr>
      <w:r w:rsidRPr="00863D9B">
        <w:t xml:space="preserve">Emboitant le pas à son collègue du Parquet général, </w:t>
      </w:r>
      <w:proofErr w:type="spellStart"/>
      <w:r w:rsidRPr="00863D9B">
        <w:t>Madiaw</w:t>
      </w:r>
      <w:proofErr w:type="spellEnd"/>
      <w:r w:rsidRPr="00863D9B">
        <w:t xml:space="preserve"> DIAW a déploré le fait, par exemple, que, dans l’affaire concernant Samba </w:t>
      </w:r>
      <w:proofErr w:type="spellStart"/>
      <w:r w:rsidRPr="00863D9B">
        <w:t>Sarr</w:t>
      </w:r>
      <w:proofErr w:type="spellEnd"/>
      <w:r w:rsidRPr="00863D9B">
        <w:t xml:space="preserve"> DIA, Abdoulaye FALL et Amadou NDIAYE, la Chambre criminelle se contentât, après avoir annulé la procédure relativement à Samba </w:t>
      </w:r>
      <w:proofErr w:type="spellStart"/>
      <w:r w:rsidRPr="00863D9B">
        <w:t>Sarr</w:t>
      </w:r>
      <w:proofErr w:type="spellEnd"/>
      <w:r w:rsidRPr="00863D9B">
        <w:t xml:space="preserve"> DIA pour violation de l’article 105 CPP,  de renvoyer le Parquet à mieux se pourvoir sans se prononcer sur le cas des co-accusés dont la procédure était pourtant régulière.</w:t>
      </w:r>
    </w:p>
    <w:p w:rsidR="00AA255B" w:rsidRDefault="00AA255B" w:rsidP="00AA255B">
      <w:pPr>
        <w:spacing w:line="360" w:lineRule="auto"/>
        <w:jc w:val="both"/>
      </w:pPr>
    </w:p>
    <w:p w:rsidR="00D07BE6" w:rsidRPr="00863D9B" w:rsidRDefault="00D07BE6" w:rsidP="00AA255B">
      <w:pPr>
        <w:spacing w:line="360" w:lineRule="auto"/>
        <w:jc w:val="both"/>
      </w:pPr>
      <w:r w:rsidRPr="00863D9B">
        <w:t xml:space="preserve">Abordant la question du caractère substantiel de certaines formalités omises, les Juges d’instruction </w:t>
      </w:r>
      <w:proofErr w:type="spellStart"/>
      <w:r w:rsidRPr="00863D9B">
        <w:t>Makha</w:t>
      </w:r>
      <w:proofErr w:type="spellEnd"/>
      <w:r w:rsidRPr="00863D9B">
        <w:t xml:space="preserve"> BARRY et Augustin DIOUF ont appelé à une lecture souple de certaines nullités qui ne sont pas d’ordre public en exigeant, par exemple, comme le fait le législateur français à travers l’article 803 du code de procédure pénale, la preuve d’un grief et à rejeter les exceptions dès lors qu’il était possible, à la lecture du dossier, de considérer que l’objet de la formalité a été rempli.</w:t>
      </w:r>
    </w:p>
    <w:p w:rsidR="00AA255B" w:rsidRDefault="00AA255B" w:rsidP="00AA255B">
      <w:pPr>
        <w:spacing w:line="360" w:lineRule="auto"/>
        <w:jc w:val="both"/>
      </w:pPr>
    </w:p>
    <w:p w:rsidR="00D07BE6" w:rsidRPr="00863D9B" w:rsidRDefault="00D07BE6" w:rsidP="00AA255B">
      <w:pPr>
        <w:spacing w:line="360" w:lineRule="auto"/>
        <w:jc w:val="both"/>
      </w:pPr>
      <w:r w:rsidRPr="00863D9B">
        <w:t xml:space="preserve">Emboitant le pas à ses collègues, le Doyen des Juges d’instruction a insisté sur le problème de la disponibilité des avocats aussi bien au stade de la première comparution que de l’interrogatoire au fond d’autant plus, précise le Juge </w:t>
      </w:r>
      <w:proofErr w:type="spellStart"/>
      <w:r w:rsidRPr="00863D9B">
        <w:t>Yakham</w:t>
      </w:r>
      <w:proofErr w:type="spellEnd"/>
      <w:r w:rsidRPr="00863D9B">
        <w:t xml:space="preserve"> LEYE chargé du 2</w:t>
      </w:r>
      <w:r w:rsidRPr="00AA255B">
        <w:t>ème</w:t>
      </w:r>
      <w:r w:rsidRPr="00863D9B">
        <w:t xml:space="preserve"> Cabinet, qu’il arrive que le Juge soit dans l’extrême urgence surtout quand il doit, comme l’exige l’article 101 attendre l’avocat pendant 24 heures et qu’il a en face de lui une personne malade ou dont la prise en charge requiert des diligences particulières, raison pour laquelle il est habituel de voir dans les régions que les Juges mentionnent souvent avoir téléphoniquement avisé l’avocat qui consent à l’inculpation ou à l’interrogation en son absence.</w:t>
      </w:r>
    </w:p>
    <w:p w:rsidR="00AA255B" w:rsidRDefault="00AA255B" w:rsidP="00AA255B">
      <w:pPr>
        <w:spacing w:line="360" w:lineRule="auto"/>
        <w:jc w:val="both"/>
      </w:pPr>
    </w:p>
    <w:p w:rsidR="00D07BE6" w:rsidRPr="00863D9B" w:rsidRDefault="00D07BE6" w:rsidP="00AA255B">
      <w:pPr>
        <w:spacing w:line="360" w:lineRule="auto"/>
        <w:jc w:val="both"/>
      </w:pPr>
      <w:r w:rsidRPr="00863D9B">
        <w:t>Les Juges d’instruction Cheikh DIOP (8</w:t>
      </w:r>
      <w:r w:rsidRPr="00AA255B">
        <w:t>ème</w:t>
      </w:r>
      <w:r w:rsidRPr="00863D9B">
        <w:t xml:space="preserve"> Cabinet) et Yacine CISSE (du Tribunal d’instance de Pikine) ont mis l’accent sur le délai de traitement par le Procureur des dossiers communiqués pour règlement définitif en se demandant si le Juge devait rester spectateur et attendre le retour des réquisitions ou s’il pouvait, après l’écoulement du délai de 15 jours prévu par l’article 169 du code de procédure pénale, prendre son ordonnance de règlement. La réponse retenue à ce propos était que le Juge était tenu d’attendre les réquisitions du Procureur sous peine de voir sa procédure sanctionnée.</w:t>
      </w:r>
    </w:p>
    <w:p w:rsidR="00AA255B" w:rsidRDefault="00AA255B" w:rsidP="00AA255B">
      <w:pPr>
        <w:spacing w:line="360" w:lineRule="auto"/>
        <w:jc w:val="both"/>
      </w:pPr>
    </w:p>
    <w:p w:rsidR="00D07BE6" w:rsidRPr="00863D9B" w:rsidRDefault="00D07BE6" w:rsidP="00AA255B">
      <w:pPr>
        <w:spacing w:line="360" w:lineRule="auto"/>
        <w:jc w:val="both"/>
      </w:pPr>
      <w:r w:rsidRPr="00863D9B">
        <w:t>Prenant la parole, Amadou SEYDI, adjoint au Procureur de la République près le Tribunal de Grande Instance de Dakar a expliqué que le Parquet jouait son rôle de gardien de la régularité formelle des procédures criminelles avec l’institution d’une fiche mise à la disposition de tous les Substituts et retraçant le respect de toutes les formalités susceptibles d’entrainer l’annulation à l’audience en vue de la saisine de la Chambre d’accusation sur le fondement de l’article 165 du code de procédure pénale.</w:t>
      </w:r>
    </w:p>
    <w:p w:rsidR="00AA255B" w:rsidRDefault="00AA255B" w:rsidP="00AA255B">
      <w:pPr>
        <w:spacing w:line="360" w:lineRule="auto"/>
        <w:jc w:val="both"/>
      </w:pPr>
    </w:p>
    <w:p w:rsidR="00D07BE6" w:rsidRPr="00863D9B" w:rsidRDefault="00D07BE6" w:rsidP="00AA255B">
      <w:pPr>
        <w:spacing w:line="360" w:lineRule="auto"/>
        <w:jc w:val="both"/>
      </w:pPr>
      <w:r w:rsidRPr="00863D9B">
        <w:t xml:space="preserve">Dans la même veine, les Juges </w:t>
      </w:r>
      <w:proofErr w:type="spellStart"/>
      <w:r w:rsidRPr="00863D9B">
        <w:t>Djiby</w:t>
      </w:r>
      <w:proofErr w:type="spellEnd"/>
      <w:r w:rsidRPr="00863D9B">
        <w:t xml:space="preserve"> SEYDI et Ousmane Chimère DIOUF, respectivement titulaires des chambres criminelles d’instance et d’appel ont insisté sur l’importance du formalisme de l’instruction et la « mise en état intellectuelle » du dossier avant le règlement définitif avec notamment la saisine de la Chambre d’accusation pour l’annulation des actes irréguliers en montrant que le Juge d’instruction et le Parquet doivent s’entourer de toutes les garanties avant l’audience pour éviter une annulation aux conséquences graves.</w:t>
      </w:r>
    </w:p>
    <w:p w:rsidR="00AA255B" w:rsidRDefault="00AA255B" w:rsidP="00AA255B">
      <w:pPr>
        <w:spacing w:line="360" w:lineRule="auto"/>
        <w:jc w:val="both"/>
      </w:pPr>
    </w:p>
    <w:p w:rsidR="00D07BE6" w:rsidRPr="00863D9B" w:rsidRDefault="00D07BE6" w:rsidP="00AA255B">
      <w:pPr>
        <w:spacing w:line="360" w:lineRule="auto"/>
        <w:jc w:val="both"/>
      </w:pPr>
      <w:r w:rsidRPr="00863D9B">
        <w:t xml:space="preserve">C’est d’ailleurs la raison pour laquelle le premier Président de la Cour d’appel a souligné, à ce propos, que la réforme de 2008 exigeait du Juge d’instruction, un contrôle plus rigoureux sur les actes qu’il posait : </w:t>
      </w:r>
      <w:r w:rsidRPr="00AA255B">
        <w:t>« substantielle ou pas, c’est la nullité en soit qu’il faut éviter à l’audience »</w:t>
      </w:r>
      <w:r w:rsidRPr="00863D9B">
        <w:t>.</w:t>
      </w:r>
    </w:p>
    <w:p w:rsidR="00AA255B" w:rsidRDefault="00AA255B" w:rsidP="00AA255B">
      <w:pPr>
        <w:spacing w:line="360" w:lineRule="auto"/>
        <w:jc w:val="both"/>
      </w:pPr>
    </w:p>
    <w:p w:rsidR="00D07BE6" w:rsidRDefault="00D07BE6" w:rsidP="00AA255B">
      <w:pPr>
        <w:spacing w:line="360" w:lineRule="auto"/>
        <w:jc w:val="both"/>
      </w:pPr>
      <w:r w:rsidRPr="00863D9B">
        <w:t>A la suite de ce débat interactif, un certain nombre de recommandations ont été faites pour une meilleure prise en charge des nullités de procédure.</w:t>
      </w:r>
    </w:p>
    <w:p w:rsidR="00B553F4" w:rsidRPr="00863D9B" w:rsidRDefault="00B553F4" w:rsidP="00AA255B">
      <w:pPr>
        <w:spacing w:line="360" w:lineRule="auto"/>
        <w:jc w:val="both"/>
      </w:pPr>
    </w:p>
    <w:p w:rsidR="00D07BE6" w:rsidRPr="00AA255B" w:rsidRDefault="00D07BE6" w:rsidP="00AA255B">
      <w:pPr>
        <w:spacing w:line="360" w:lineRule="auto"/>
        <w:jc w:val="center"/>
        <w:rPr>
          <w:b/>
        </w:rPr>
      </w:pPr>
      <w:r w:rsidRPr="00AA255B">
        <w:rPr>
          <w:b/>
        </w:rPr>
        <w:t>Recommandations pour une meilleure prévention des nullités et cérémonie de clôture</w:t>
      </w:r>
    </w:p>
    <w:p w:rsidR="00D07BE6" w:rsidRPr="00863D9B" w:rsidRDefault="00D07BE6" w:rsidP="00AA255B">
      <w:pPr>
        <w:spacing w:line="360" w:lineRule="auto"/>
        <w:jc w:val="both"/>
      </w:pPr>
      <w:r w:rsidRPr="00863D9B">
        <w:t xml:space="preserve">Après l’exposé sur les différentes nullités rencontrées dans les procédures criminelles et l’échange sur les différentes réponses apportées par les Chambres criminelles, </w:t>
      </w:r>
      <w:r>
        <w:t>Monsieur le Directeur des Affaires Criminelles et des Grâces a fait la synthèse des débats et procédé à  la récapitulation de l’ensemble des recommandations qui en sont issues. Les</w:t>
      </w:r>
      <w:r w:rsidRPr="00863D9B">
        <w:t xml:space="preserve"> recommandations adoptées sont les suivantes :</w:t>
      </w:r>
    </w:p>
    <w:p w:rsidR="00AA255B" w:rsidRDefault="00AA255B" w:rsidP="00AA255B">
      <w:pPr>
        <w:spacing w:line="360" w:lineRule="auto"/>
        <w:jc w:val="both"/>
      </w:pPr>
    </w:p>
    <w:p w:rsidR="00D07BE6" w:rsidRPr="00863D9B" w:rsidRDefault="00D07BE6" w:rsidP="00AA255B">
      <w:pPr>
        <w:spacing w:line="360" w:lineRule="auto"/>
        <w:jc w:val="both"/>
      </w:pPr>
      <w:r w:rsidRPr="00863D9B">
        <w:t xml:space="preserve">Institution, avant le règlement définitif de l’affaire par le Juge d’instruction, d’une période de contestation, devant la Chambre d’accusation, des actes de l’information entachés de vices. (Cette proposition est, en réalité, une sorte de purge des nullités au sens de l’article 557 du CPP puisque l’objectif visé est </w:t>
      </w:r>
      <w:r w:rsidRPr="00AA255B">
        <w:t>qu’au-delà</w:t>
      </w:r>
      <w:r w:rsidRPr="00863D9B">
        <w:t xml:space="preserve"> de cette période située au moment de la communication de la procédure aux conseils et au Parquet sur la base de l’article 169 CPP, aucune nullité ne puisse être soulevée).</w:t>
      </w:r>
    </w:p>
    <w:p w:rsidR="00D07BE6" w:rsidRPr="00863D9B" w:rsidRDefault="00D07BE6" w:rsidP="00AA255B">
      <w:pPr>
        <w:spacing w:line="360" w:lineRule="auto"/>
        <w:jc w:val="both"/>
      </w:pPr>
      <w:r w:rsidRPr="00863D9B">
        <w:t>Mise en place d’un système officiel de transmission des convocations aux Avocats par des agents assermentés avec notamment un accusé de réception à verser au dossier pour en assurer la traçabilité.</w:t>
      </w:r>
    </w:p>
    <w:p w:rsidR="00D07BE6" w:rsidRPr="00863D9B" w:rsidRDefault="00D07BE6" w:rsidP="00AA255B">
      <w:pPr>
        <w:spacing w:line="360" w:lineRule="auto"/>
        <w:jc w:val="both"/>
      </w:pPr>
      <w:r w:rsidRPr="00863D9B">
        <w:t>Institution, avec le concours du Barreau, d’une permanence pour faciliter aussi bien les commissions d’office d’avocat que la remise des convocations.</w:t>
      </w:r>
    </w:p>
    <w:p w:rsidR="00D07BE6" w:rsidRPr="00863D9B" w:rsidRDefault="00D07BE6" w:rsidP="00AA255B">
      <w:pPr>
        <w:spacing w:line="360" w:lineRule="auto"/>
        <w:jc w:val="both"/>
      </w:pPr>
      <w:r w:rsidRPr="00863D9B">
        <w:t xml:space="preserve">Elaboration de pré-imprimés actualisés pour les procès-verbaux de première comparution et d’interrogatoire au fond avec la prise en compte de toutes les formalités dont l’omission pourrait entrainer l’annulation. </w:t>
      </w:r>
    </w:p>
    <w:p w:rsidR="00D07BE6" w:rsidRDefault="00D07BE6" w:rsidP="00AA255B">
      <w:pPr>
        <w:spacing w:line="360" w:lineRule="auto"/>
        <w:jc w:val="both"/>
      </w:pPr>
      <w:r>
        <w:t xml:space="preserve">En cas d’annulation de la procédure suivie de nouvelles poursuites fondées sur les mêmes faits, déduire, de la peine prononcée pour le jugement ou l’arrêt de condamnation, la </w:t>
      </w:r>
      <w:r>
        <w:lastRenderedPageBreak/>
        <w:t>détention supportée par l’accusé en raison de la procédure annulée, sauf disposition contraire spéciale et motivée du juge (art 22 du Code Pénal).</w:t>
      </w:r>
    </w:p>
    <w:p w:rsidR="00D07BE6" w:rsidRPr="00863D9B" w:rsidRDefault="00D07BE6" w:rsidP="00AA255B">
      <w:pPr>
        <w:spacing w:line="360" w:lineRule="auto"/>
        <w:jc w:val="both"/>
      </w:pPr>
      <w:r w:rsidRPr="00863D9B">
        <w:t xml:space="preserve">C’est sur ces notes et les mots de remerciement de monsieur le Directeur du Centre de Formation Judiciaire que la rencontre a pris fin à 15 heures.  </w:t>
      </w:r>
    </w:p>
    <w:p w:rsidR="00D07BE6" w:rsidRPr="00863D9B" w:rsidRDefault="00D07BE6" w:rsidP="00AA255B">
      <w:pPr>
        <w:spacing w:line="360" w:lineRule="auto"/>
        <w:ind w:left="360"/>
        <w:jc w:val="both"/>
      </w:pPr>
    </w:p>
    <w:p w:rsidR="00D07BE6" w:rsidRPr="00AA255B" w:rsidRDefault="00D07BE6" w:rsidP="00AA255B">
      <w:pPr>
        <w:ind w:left="4248"/>
        <w:jc w:val="center"/>
        <w:rPr>
          <w:b/>
          <w:i/>
        </w:rPr>
      </w:pPr>
      <w:r w:rsidRPr="00AA255B">
        <w:rPr>
          <w:b/>
          <w:i/>
        </w:rPr>
        <w:t>Fait à Dakar le 30 novembre 2017</w:t>
      </w:r>
    </w:p>
    <w:p w:rsidR="00D07BE6" w:rsidRPr="00AA255B" w:rsidRDefault="00D07BE6" w:rsidP="00AA255B">
      <w:pPr>
        <w:ind w:left="4248"/>
        <w:jc w:val="center"/>
        <w:rPr>
          <w:b/>
          <w:i/>
        </w:rPr>
      </w:pPr>
      <w:r w:rsidRPr="00AA255B">
        <w:rPr>
          <w:b/>
          <w:i/>
        </w:rPr>
        <w:t xml:space="preserve">Le Substitut </w:t>
      </w:r>
      <w:proofErr w:type="spellStart"/>
      <w:r w:rsidRPr="00AA255B">
        <w:rPr>
          <w:b/>
          <w:i/>
        </w:rPr>
        <w:t>Malick</w:t>
      </w:r>
      <w:proofErr w:type="spellEnd"/>
      <w:r w:rsidRPr="00AA255B">
        <w:rPr>
          <w:b/>
          <w:i/>
        </w:rPr>
        <w:t xml:space="preserve"> DIA</w:t>
      </w:r>
    </w:p>
    <w:p w:rsidR="00FA1C28" w:rsidRDefault="00FA1C28" w:rsidP="00AA255B">
      <w:pPr>
        <w:spacing w:after="160" w:line="259" w:lineRule="auto"/>
        <w:jc w:val="center"/>
      </w:pPr>
    </w:p>
    <w:p w:rsidR="00FA1C28" w:rsidRDefault="00FA1C28">
      <w:pPr>
        <w:spacing w:after="160" w:line="259" w:lineRule="auto"/>
      </w:pPr>
      <w:r>
        <w:br w:type="page"/>
      </w:r>
    </w:p>
    <w:p w:rsidR="00FA1C28" w:rsidRDefault="00FA1C28" w:rsidP="00FA1C28">
      <w:pPr>
        <w:spacing w:line="360" w:lineRule="auto"/>
        <w:jc w:val="center"/>
        <w:rPr>
          <w:b/>
        </w:rPr>
      </w:pPr>
    </w:p>
    <w:p w:rsidR="00B92883" w:rsidRPr="00B92883" w:rsidRDefault="00B92883" w:rsidP="00B92883">
      <w:pPr>
        <w:spacing w:line="360" w:lineRule="auto"/>
        <w:rPr>
          <w:rFonts w:ascii="Lucida Fax" w:hAnsi="Lucida Fax" w:cs="CordiaUPC"/>
          <w:b/>
        </w:rPr>
      </w:pPr>
      <w:r w:rsidRPr="00B92883">
        <w:rPr>
          <w:rFonts w:ascii="Lucida Fax" w:hAnsi="Lucida Fax" w:cs="CordiaUPC"/>
          <w:b/>
        </w:rPr>
        <w:t>CENTRE DE FORMATION JUDICIAIRE</w:t>
      </w:r>
      <w:r>
        <w:rPr>
          <w:rFonts w:ascii="Lucida Fax" w:hAnsi="Lucida Fax" w:cs="CordiaUPC"/>
          <w:b/>
        </w:rPr>
        <w:t xml:space="preserve"> ET </w:t>
      </w:r>
      <w:r w:rsidRPr="00B92883">
        <w:rPr>
          <w:rFonts w:ascii="Lucida Fax" w:hAnsi="Lucida Fax" w:cs="CordiaUPC"/>
          <w:b/>
        </w:rPr>
        <w:t xml:space="preserve">COUR D’APPEL DE </w:t>
      </w:r>
      <w:r>
        <w:rPr>
          <w:rFonts w:ascii="Lucida Fax" w:hAnsi="Lucida Fax" w:cs="CordiaUPC"/>
          <w:b/>
        </w:rPr>
        <w:t>SAINT LOUIS</w:t>
      </w:r>
    </w:p>
    <w:p w:rsidR="00811E1A" w:rsidRDefault="00811E1A" w:rsidP="00811E1A">
      <w:pPr>
        <w:jc w:val="center"/>
      </w:pPr>
    </w:p>
    <w:p w:rsidR="00811E1A" w:rsidRDefault="00811E1A" w:rsidP="00811E1A">
      <w:pPr>
        <w:jc w:val="center"/>
      </w:pPr>
    </w:p>
    <w:p w:rsidR="00811E1A" w:rsidRDefault="00811E1A" w:rsidP="00811E1A">
      <w:pPr>
        <w:jc w:val="center"/>
      </w:pPr>
    </w:p>
    <w:p w:rsidR="00811E1A" w:rsidRDefault="00811E1A" w:rsidP="00811E1A">
      <w:pPr>
        <w:jc w:val="center"/>
      </w:pPr>
    </w:p>
    <w:p w:rsidR="00811E1A" w:rsidRDefault="00811E1A" w:rsidP="00811E1A">
      <w:pPr>
        <w:jc w:val="center"/>
      </w:pPr>
    </w:p>
    <w:p w:rsidR="00811E1A" w:rsidRPr="006A105E" w:rsidRDefault="00811E1A" w:rsidP="00811E1A">
      <w:pPr>
        <w:ind w:left="2832"/>
        <w:rPr>
          <w:rFonts w:ascii="Agency FB" w:hAnsi="Agency FB"/>
          <w:b/>
        </w:rPr>
      </w:pPr>
      <w:r>
        <w:rPr>
          <w:rFonts w:ascii="Agency FB" w:hAnsi="Agency FB"/>
          <w:b/>
        </w:rPr>
        <w:t xml:space="preserve">                          </w:t>
      </w:r>
    </w:p>
    <w:p w:rsidR="00FA1C28" w:rsidRDefault="00FA1C28" w:rsidP="00FA1C28">
      <w:pPr>
        <w:spacing w:line="360" w:lineRule="auto"/>
        <w:jc w:val="center"/>
        <w:rPr>
          <w:b/>
        </w:rPr>
      </w:pPr>
    </w:p>
    <w:p w:rsidR="00FA1C28" w:rsidRDefault="00FA1C28" w:rsidP="00FA1C28">
      <w:pPr>
        <w:spacing w:line="360" w:lineRule="auto"/>
        <w:jc w:val="center"/>
        <w:rPr>
          <w:b/>
        </w:rPr>
      </w:pPr>
    </w:p>
    <w:p w:rsidR="00FA1C28" w:rsidRDefault="00FA1C28" w:rsidP="00FA1C28">
      <w:pPr>
        <w:spacing w:line="360" w:lineRule="auto"/>
        <w:jc w:val="center"/>
        <w:rPr>
          <w:b/>
        </w:rPr>
      </w:pPr>
    </w:p>
    <w:p w:rsidR="00FA1C28" w:rsidRDefault="00FA1C28" w:rsidP="00FA1C28">
      <w:pPr>
        <w:spacing w:line="360" w:lineRule="auto"/>
        <w:jc w:val="center"/>
        <w:rPr>
          <w:b/>
        </w:rPr>
      </w:pPr>
    </w:p>
    <w:p w:rsidR="00FA1C28" w:rsidRDefault="00FA1C28" w:rsidP="00FA1C28">
      <w:pPr>
        <w:spacing w:line="360" w:lineRule="auto"/>
        <w:jc w:val="center"/>
        <w:rPr>
          <w:b/>
        </w:rPr>
      </w:pPr>
    </w:p>
    <w:p w:rsidR="00FA1C28" w:rsidRDefault="00FA1C28" w:rsidP="00FA1C28">
      <w:pPr>
        <w:spacing w:line="360" w:lineRule="auto"/>
        <w:jc w:val="center"/>
        <w:rPr>
          <w:b/>
        </w:rPr>
      </w:pPr>
    </w:p>
    <w:p w:rsidR="00FA1C28" w:rsidRDefault="00FA1C28" w:rsidP="00FA1C28">
      <w:pPr>
        <w:spacing w:after="160" w:line="259" w:lineRule="auto"/>
        <w:jc w:val="center"/>
      </w:pPr>
    </w:p>
    <w:p w:rsidR="00FA1C28" w:rsidRPr="00C56B28" w:rsidRDefault="00FA1C28" w:rsidP="00FA1C28">
      <w:pPr>
        <w:spacing w:after="160" w:line="259" w:lineRule="auto"/>
        <w:jc w:val="center"/>
        <w:rPr>
          <w:b/>
        </w:rPr>
      </w:pPr>
      <w:r w:rsidRPr="00C56B28">
        <w:rPr>
          <w:b/>
        </w:rPr>
        <w:t>RAPPORT SEMINAIRE SUR LES CHAMBRES CRIMINELLES</w:t>
      </w:r>
    </w:p>
    <w:p w:rsidR="00FA1C28" w:rsidRDefault="00FA1C28" w:rsidP="00FA1C28">
      <w:pPr>
        <w:spacing w:after="120"/>
        <w:jc w:val="center"/>
        <w:rPr>
          <w:rFonts w:ascii="Times New Roman" w:hAnsi="Times New Roman" w:cs="Times New Roman"/>
          <w:b/>
          <w:i/>
        </w:rPr>
      </w:pPr>
    </w:p>
    <w:p w:rsidR="00FA1C28" w:rsidRPr="00FA1C28" w:rsidRDefault="00FA1C28" w:rsidP="00FA1C28">
      <w:pPr>
        <w:jc w:val="center"/>
        <w:rPr>
          <w:rFonts w:ascii="Times New Roman" w:hAnsi="Times New Roman" w:cs="Times New Roman"/>
          <w:b/>
        </w:rPr>
      </w:pPr>
      <w:r w:rsidRPr="00FA1C28">
        <w:rPr>
          <w:rFonts w:ascii="Times New Roman" w:hAnsi="Times New Roman" w:cs="Times New Roman"/>
          <w:b/>
        </w:rPr>
        <w:t>SAINT LOUIS, LE 19 JANVIER 2018</w:t>
      </w:r>
    </w:p>
    <w:p w:rsidR="00FA1C28" w:rsidRDefault="00FA1C28" w:rsidP="00FA1C28">
      <w:pPr>
        <w:spacing w:after="120"/>
        <w:jc w:val="center"/>
        <w:rPr>
          <w:rFonts w:ascii="Times New Roman" w:hAnsi="Times New Roman" w:cs="Times New Roman"/>
          <w:b/>
        </w:rPr>
      </w:pPr>
    </w:p>
    <w:p w:rsidR="00FA1C28" w:rsidRDefault="00B92883">
      <w:pPr>
        <w:spacing w:after="160" w:line="259" w:lineRule="auto"/>
        <w:rPr>
          <w:rFonts w:ascii="Times New Roman" w:hAnsi="Times New Roman" w:cs="Times New Roman"/>
          <w:b/>
          <w:i/>
        </w:rPr>
      </w:pPr>
      <w:r>
        <w:rPr>
          <w:noProof/>
        </w:rPr>
        <w:drawing>
          <wp:anchor distT="0" distB="0" distL="114300" distR="114300" simplePos="0" relativeHeight="251670528" behindDoc="0" locked="0" layoutInCell="1" allowOverlap="1" wp14:anchorId="2545F009" wp14:editId="0716484A">
            <wp:simplePos x="0" y="0"/>
            <wp:positionH relativeFrom="column">
              <wp:posOffset>1799590</wp:posOffset>
            </wp:positionH>
            <wp:positionV relativeFrom="paragraph">
              <wp:posOffset>4026535</wp:posOffset>
            </wp:positionV>
            <wp:extent cx="1990725" cy="717550"/>
            <wp:effectExtent l="0" t="0" r="9525" b="6350"/>
            <wp:wrapSquare wrapText="bothSides"/>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7" cstate="print"/>
                    <a:srcRect l="24503" t="47961" r="28311" b="27754"/>
                    <a:stretch>
                      <a:fillRect/>
                    </a:stretch>
                  </pic:blipFill>
                  <pic:spPr bwMode="auto">
                    <a:xfrm>
                      <a:off x="0" y="0"/>
                      <a:ext cx="1990725" cy="717550"/>
                    </a:xfrm>
                    <a:prstGeom prst="rect">
                      <a:avLst/>
                    </a:prstGeom>
                    <a:noFill/>
                    <a:ln w="9525">
                      <a:noFill/>
                      <a:miter lim="800000"/>
                      <a:headEnd/>
                      <a:tailEnd/>
                    </a:ln>
                  </pic:spPr>
                </pic:pic>
              </a:graphicData>
            </a:graphic>
          </wp:anchor>
        </w:drawing>
      </w:r>
      <w:r w:rsidR="00FA1C28">
        <w:rPr>
          <w:rFonts w:ascii="Times New Roman" w:hAnsi="Times New Roman" w:cs="Times New Roman"/>
          <w:b/>
          <w:i/>
        </w:rPr>
        <w:br w:type="page"/>
      </w:r>
    </w:p>
    <w:p w:rsidR="009B2B0A" w:rsidRDefault="00B553F4" w:rsidP="009B2B0A">
      <w:pPr>
        <w:jc w:val="center"/>
        <w:rPr>
          <w:rFonts w:ascii="Monotype Corsiva" w:hAnsi="Monotype Corsiva"/>
          <w:b/>
          <w:bCs/>
          <w:i/>
          <w:iCs/>
          <w:szCs w:val="20"/>
        </w:rPr>
      </w:pPr>
      <w:r>
        <w:rPr>
          <w:rFonts w:ascii="Monotype Corsiva" w:hAnsi="Monotype Corsiva"/>
          <w:b/>
          <w:i/>
          <w:noProof/>
          <w:szCs w:val="20"/>
        </w:rPr>
        <w:lastRenderedPageBreak/>
        <w:t xml:space="preserve">   </w:t>
      </w:r>
      <w:r w:rsidR="009B2B0A">
        <w:rPr>
          <w:rFonts w:ascii="Monotype Corsiva" w:hAnsi="Monotype Corsiva"/>
          <w:b/>
          <w:i/>
          <w:noProof/>
          <w:szCs w:val="20"/>
        </w:rPr>
        <w:drawing>
          <wp:inline distT="0" distB="0" distL="0" distR="0" wp14:anchorId="1D5AA095" wp14:editId="38CF3F48">
            <wp:extent cx="1204595" cy="518795"/>
            <wp:effectExtent l="0" t="0" r="0" b="0"/>
            <wp:docPr id="10" name="Image 10" descr="Drapeau du Séné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descr="Drapeau du Sénég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4595" cy="518795"/>
                    </a:xfrm>
                    <a:prstGeom prst="rect">
                      <a:avLst/>
                    </a:prstGeom>
                    <a:noFill/>
                    <a:ln>
                      <a:noFill/>
                    </a:ln>
                  </pic:spPr>
                </pic:pic>
              </a:graphicData>
            </a:graphic>
          </wp:inline>
        </w:drawing>
      </w:r>
    </w:p>
    <w:p w:rsidR="009B2B0A" w:rsidRDefault="009B2B0A" w:rsidP="009B2B0A">
      <w:pPr>
        <w:jc w:val="center"/>
        <w:rPr>
          <w:rFonts w:ascii="Times New Roman" w:hAnsi="Times New Roman"/>
          <w:bCs/>
          <w:iCs/>
          <w:sz w:val="14"/>
          <w:szCs w:val="20"/>
        </w:rPr>
      </w:pPr>
      <w:r>
        <w:rPr>
          <w:bCs/>
          <w:iCs/>
          <w:sz w:val="14"/>
          <w:szCs w:val="20"/>
        </w:rPr>
        <w:t>REPUBLIQUE DU SENEGAL</w:t>
      </w:r>
    </w:p>
    <w:p w:rsidR="009B2B0A" w:rsidRDefault="009B2B0A" w:rsidP="009B2B0A">
      <w:pPr>
        <w:jc w:val="center"/>
        <w:rPr>
          <w:rFonts w:ascii="Monotype Corsiva" w:hAnsi="Monotype Corsiva"/>
          <w:b/>
          <w:bCs/>
          <w:i/>
          <w:iCs/>
          <w:szCs w:val="20"/>
        </w:rPr>
      </w:pPr>
      <w:r>
        <w:rPr>
          <w:rFonts w:ascii="Monotype Corsiva" w:hAnsi="Monotype Corsiva"/>
          <w:b/>
          <w:bCs/>
          <w:i/>
          <w:iCs/>
          <w:szCs w:val="20"/>
        </w:rPr>
        <w:t>Un Peuple – Un But – Une Foi</w:t>
      </w:r>
    </w:p>
    <w:p w:rsidR="009B2B0A" w:rsidRDefault="009B2B0A" w:rsidP="009B2B0A">
      <w:pPr>
        <w:jc w:val="center"/>
        <w:rPr>
          <w:rFonts w:ascii="Bookman Old Style" w:hAnsi="Bookman Old Style"/>
          <w:b/>
          <w:bCs/>
          <w:sz w:val="20"/>
          <w:szCs w:val="20"/>
        </w:rPr>
      </w:pPr>
      <w:r>
        <w:rPr>
          <w:rFonts w:ascii="Bookman Old Style" w:hAnsi="Bookman Old Style"/>
          <w:b/>
          <w:bCs/>
          <w:sz w:val="20"/>
          <w:szCs w:val="20"/>
        </w:rPr>
        <w:t>MINISTERE DE LA JUSTICE</w:t>
      </w:r>
    </w:p>
    <w:p w:rsidR="009B2B0A" w:rsidRDefault="009B2B0A" w:rsidP="009B2B0A">
      <w:pPr>
        <w:jc w:val="center"/>
        <w:rPr>
          <w:rFonts w:ascii="Eras Bold ITC" w:hAnsi="Eras Bold ITC"/>
          <w:b/>
          <w:bCs/>
          <w:sz w:val="16"/>
        </w:rPr>
      </w:pPr>
      <w:r>
        <w:rPr>
          <w:rFonts w:ascii="Eras Bold ITC" w:hAnsi="Eras Bold ITC"/>
          <w:b/>
          <w:bCs/>
          <w:sz w:val="16"/>
        </w:rPr>
        <w:t xml:space="preserve">COUR D’APPEL DE </w:t>
      </w:r>
      <w:r w:rsidR="00811E1A">
        <w:rPr>
          <w:rFonts w:ascii="Eras Bold ITC" w:hAnsi="Eras Bold ITC"/>
          <w:b/>
          <w:bCs/>
          <w:sz w:val="16"/>
        </w:rPr>
        <w:t>SAINT LOUIS</w:t>
      </w:r>
    </w:p>
    <w:p w:rsidR="009B2B0A" w:rsidRDefault="009B2B0A" w:rsidP="009B2B0A">
      <w:pPr>
        <w:jc w:val="both"/>
        <w:rPr>
          <w:rFonts w:ascii="Times New Roman" w:hAnsi="Times New Roman" w:cs="Times New Roman"/>
        </w:rPr>
      </w:pPr>
    </w:p>
    <w:p w:rsidR="009B2B0A" w:rsidRDefault="009B2B0A" w:rsidP="009B2B0A">
      <w:pPr>
        <w:jc w:val="center"/>
        <w:rPr>
          <w:rFonts w:ascii="Times New Roman" w:hAnsi="Times New Roman" w:cs="Times New Roman"/>
          <w:b/>
          <w:i/>
        </w:rPr>
      </w:pPr>
    </w:p>
    <w:p w:rsidR="009B2B0A" w:rsidRDefault="009B2B0A" w:rsidP="009B2B0A">
      <w:pPr>
        <w:jc w:val="center"/>
        <w:rPr>
          <w:rFonts w:ascii="Times New Roman" w:hAnsi="Times New Roman" w:cs="Times New Roman"/>
          <w:b/>
          <w:i/>
        </w:rPr>
      </w:pPr>
    </w:p>
    <w:p w:rsidR="009B2B0A" w:rsidRDefault="009B2B0A" w:rsidP="009B2B0A">
      <w:pPr>
        <w:jc w:val="center"/>
        <w:rPr>
          <w:rFonts w:ascii="Times New Roman" w:hAnsi="Times New Roman" w:cs="Times New Roman"/>
          <w:b/>
          <w:i/>
        </w:rPr>
      </w:pPr>
      <w:r>
        <w:rPr>
          <w:rFonts w:ascii="Times New Roman" w:hAnsi="Times New Roman" w:cs="Times New Roman"/>
          <w:b/>
          <w:i/>
        </w:rPr>
        <w:t>SEMINAIRE SUR LES CHAMBRES CRIMINELLES</w:t>
      </w:r>
    </w:p>
    <w:p w:rsidR="009B2B0A" w:rsidRPr="009B2B0A" w:rsidRDefault="009B2B0A" w:rsidP="009B2B0A">
      <w:pPr>
        <w:jc w:val="center"/>
        <w:rPr>
          <w:rFonts w:ascii="Times New Roman" w:hAnsi="Times New Roman" w:cs="Times New Roman"/>
          <w:b/>
          <w:i/>
        </w:rPr>
      </w:pPr>
      <w:r w:rsidRPr="009B2B0A">
        <w:rPr>
          <w:rFonts w:ascii="Times New Roman" w:hAnsi="Times New Roman" w:cs="Times New Roman"/>
          <w:b/>
          <w:i/>
        </w:rPr>
        <w:t>SAINT LOUIS, LE 19 JANVIER 2018</w:t>
      </w:r>
    </w:p>
    <w:p w:rsidR="009B2B0A" w:rsidRDefault="009B2B0A" w:rsidP="009B2B0A">
      <w:pPr>
        <w:spacing w:line="360" w:lineRule="auto"/>
        <w:jc w:val="center"/>
        <w:rPr>
          <w:rFonts w:ascii="Times New Roman" w:hAnsi="Times New Roman" w:cs="Times New Roman"/>
          <w:b/>
          <w:i/>
        </w:rPr>
      </w:pPr>
    </w:p>
    <w:p w:rsidR="009B2B0A" w:rsidRDefault="009B2B0A" w:rsidP="009B2B0A">
      <w:pPr>
        <w:spacing w:after="160" w:line="259" w:lineRule="auto"/>
      </w:pPr>
    </w:p>
    <w:p w:rsidR="009B2B0A" w:rsidRDefault="009B2B0A" w:rsidP="009B2B0A">
      <w:pPr>
        <w:spacing w:line="360" w:lineRule="auto"/>
        <w:jc w:val="center"/>
        <w:rPr>
          <w:b/>
          <w:u w:val="thick"/>
        </w:rPr>
      </w:pPr>
      <w:r>
        <w:rPr>
          <w:b/>
          <w:u w:val="thick"/>
        </w:rPr>
        <w:t>Rapport Séminaire sur les chambres criminelles</w:t>
      </w:r>
    </w:p>
    <w:p w:rsidR="009B2B0A" w:rsidRDefault="009B2B0A" w:rsidP="00D07BE6">
      <w:pPr>
        <w:jc w:val="center"/>
        <w:rPr>
          <w:rFonts w:ascii="Tahoma" w:hAnsi="Tahoma" w:cs="Tahoma"/>
          <w:b/>
          <w:sz w:val="28"/>
          <w:szCs w:val="28"/>
        </w:rPr>
      </w:pPr>
    </w:p>
    <w:p w:rsidR="00D07BE6" w:rsidRPr="00AB4B76" w:rsidRDefault="00D07BE6" w:rsidP="0062063C">
      <w:pPr>
        <w:jc w:val="both"/>
        <w:rPr>
          <w:rFonts w:ascii="Tahoma" w:hAnsi="Tahoma" w:cs="Tahoma"/>
          <w:b/>
          <w:sz w:val="16"/>
          <w:szCs w:val="16"/>
          <w:u w:val="single"/>
        </w:rPr>
      </w:pPr>
      <w:r w:rsidRPr="00AB4B76">
        <w:rPr>
          <w:rFonts w:ascii="Tahoma" w:hAnsi="Tahoma" w:cs="Tahoma"/>
          <w:b/>
          <w:sz w:val="28"/>
          <w:szCs w:val="28"/>
        </w:rPr>
        <w:t xml:space="preserve">                                 </w:t>
      </w:r>
    </w:p>
    <w:p w:rsidR="00D07BE6" w:rsidRPr="0062063C" w:rsidRDefault="00D07BE6" w:rsidP="0062063C">
      <w:pPr>
        <w:spacing w:line="360" w:lineRule="auto"/>
        <w:jc w:val="both"/>
        <w:rPr>
          <w:rFonts w:cs="Tahoma"/>
        </w:rPr>
      </w:pPr>
      <w:r w:rsidRPr="0062063C">
        <w:rPr>
          <w:rFonts w:cs="Tahoma"/>
        </w:rPr>
        <w:t>Le 19 janvier 2018, à l’hôtel de la Poste sis à Saint-Louis, s’est tenu un séminaire regroupant différents magistrats du ressort de la Cour d’appel de Saint-Louis et portant sur les nullités soulevées devant les chambres criminelles.</w:t>
      </w:r>
    </w:p>
    <w:p w:rsidR="00D07BE6" w:rsidRPr="0062063C" w:rsidRDefault="00D07BE6" w:rsidP="0062063C">
      <w:pPr>
        <w:spacing w:line="360" w:lineRule="auto"/>
        <w:jc w:val="both"/>
        <w:rPr>
          <w:rFonts w:cs="Tahoma"/>
        </w:rPr>
      </w:pPr>
      <w:r w:rsidRPr="0062063C">
        <w:rPr>
          <w:rFonts w:cs="Tahoma"/>
        </w:rPr>
        <w:t>Ce séminaire avait pour objectif de conduire à une harmonisation des pratiques dans le but de prendre en compte tant les intérêts des victimes que les droits de la défense dans le déroulé des procédures criminelles.</w:t>
      </w:r>
    </w:p>
    <w:p w:rsidR="00D07BE6" w:rsidRPr="0062063C" w:rsidRDefault="00D07BE6" w:rsidP="0062063C">
      <w:pPr>
        <w:spacing w:line="360" w:lineRule="auto"/>
        <w:jc w:val="both"/>
        <w:rPr>
          <w:rFonts w:cs="Tahoma"/>
        </w:rPr>
      </w:pPr>
      <w:r w:rsidRPr="0062063C">
        <w:rPr>
          <w:rFonts w:cs="Tahoma"/>
        </w:rPr>
        <w:t>A 9h24min, Monsieur DIAKHATE, Directeur du Centre de Formation Judiciaire (CFJ) a pris la parole pour souhaiter la bienvenue à tous les participants. Il en a profité pour rappeler l’obligation de compétence qui pèse sur les magistrats et qui justifie leur formation continue. Il a également précisé que l’enjeu du séminaire va au-delà des intérêts des parties car s’étendant aux justiciables, de façon générale, dès lors que leur perception de la justice est d’autant plus importante que celle-ci est rendue au nom du peuple sénégalais.</w:t>
      </w:r>
    </w:p>
    <w:p w:rsidR="00D07BE6" w:rsidRPr="0062063C" w:rsidRDefault="00D07BE6" w:rsidP="0062063C">
      <w:pPr>
        <w:spacing w:line="360" w:lineRule="auto"/>
        <w:jc w:val="both"/>
        <w:rPr>
          <w:rFonts w:cs="Tahoma"/>
        </w:rPr>
      </w:pPr>
      <w:r w:rsidRPr="0062063C">
        <w:rPr>
          <w:rFonts w:cs="Tahoma"/>
        </w:rPr>
        <w:t>A sa suite, le représentant du 1</w:t>
      </w:r>
      <w:r w:rsidRPr="0062063C">
        <w:rPr>
          <w:rFonts w:cs="Tahoma"/>
          <w:vertAlign w:val="superscript"/>
        </w:rPr>
        <w:t>er</w:t>
      </w:r>
      <w:r w:rsidRPr="0062063C">
        <w:rPr>
          <w:rFonts w:cs="Tahoma"/>
        </w:rPr>
        <w:t xml:space="preserve"> Président de la Cour d’Appel de Saint-Louis, Monsieur </w:t>
      </w:r>
      <w:proofErr w:type="spellStart"/>
      <w:r w:rsidRPr="0062063C">
        <w:rPr>
          <w:rFonts w:cs="Tahoma"/>
        </w:rPr>
        <w:t>Youssoupha</w:t>
      </w:r>
      <w:proofErr w:type="spellEnd"/>
      <w:r w:rsidRPr="0062063C">
        <w:rPr>
          <w:rFonts w:cs="Tahoma"/>
        </w:rPr>
        <w:t xml:space="preserve"> DIOP, s’est réjoui de la tenue d’un tel séminaire qui permet de réfléchir sur le régime des nullités devant les chambres criminelles en revenant brièvement sur la distinction entre les nullités textuelles et celles substantielles avec comme intérêt la problématique de l’étendue de la nullité lorsqu’elle est prononcée par les juridictions de jugement.</w:t>
      </w:r>
    </w:p>
    <w:p w:rsidR="00D07BE6" w:rsidRPr="0062063C" w:rsidRDefault="00D07BE6" w:rsidP="0062063C">
      <w:pPr>
        <w:spacing w:line="360" w:lineRule="auto"/>
        <w:jc w:val="both"/>
        <w:rPr>
          <w:rFonts w:cs="Tahoma"/>
        </w:rPr>
      </w:pPr>
      <w:r w:rsidRPr="0062063C">
        <w:rPr>
          <w:rFonts w:cs="Tahoma"/>
        </w:rPr>
        <w:t xml:space="preserve">Après ces mots de bienvenue, Monsieur </w:t>
      </w:r>
      <w:proofErr w:type="spellStart"/>
      <w:r w:rsidRPr="0062063C">
        <w:rPr>
          <w:rFonts w:cs="Tahoma"/>
        </w:rPr>
        <w:t>Ndiambé</w:t>
      </w:r>
      <w:proofErr w:type="spellEnd"/>
      <w:r w:rsidRPr="0062063C">
        <w:rPr>
          <w:rFonts w:cs="Tahoma"/>
        </w:rPr>
        <w:t xml:space="preserve"> GAYE, modérateur de la séance de travail a donné la parole successivement à Messieurs DIAKHOUMPA et </w:t>
      </w:r>
      <w:proofErr w:type="spellStart"/>
      <w:r w:rsidRPr="0062063C">
        <w:rPr>
          <w:rFonts w:cs="Tahoma"/>
        </w:rPr>
        <w:t>Barou</w:t>
      </w:r>
      <w:proofErr w:type="spellEnd"/>
      <w:r w:rsidRPr="0062063C">
        <w:rPr>
          <w:rFonts w:cs="Tahoma"/>
        </w:rPr>
        <w:t xml:space="preserve"> DIOP, experts du jour, pour la présentation de leurs interventions.</w:t>
      </w:r>
    </w:p>
    <w:p w:rsidR="00D07BE6" w:rsidRPr="0062063C" w:rsidRDefault="00D07BE6" w:rsidP="0062063C">
      <w:pPr>
        <w:spacing w:line="360" w:lineRule="auto"/>
        <w:jc w:val="both"/>
        <w:rPr>
          <w:rFonts w:cs="Tahoma"/>
        </w:rPr>
      </w:pPr>
      <w:r w:rsidRPr="0062063C">
        <w:rPr>
          <w:rFonts w:cs="Tahoma"/>
        </w:rPr>
        <w:lastRenderedPageBreak/>
        <w:t>Le premier a traité du droit positif par l’énoncé d’un certain nombre de décisions rendues par les chambres criminelles en partant du droit romain considéré comme un droit tellement formaliste que son application a entrainé l’annulation d’une procédure dans laquelle le demandeur a été plus précis qu’il ne fallait pour avoir fait état de ses vignes au lieu de ses arbres.</w:t>
      </w:r>
    </w:p>
    <w:p w:rsidR="00D07BE6" w:rsidRPr="0062063C" w:rsidRDefault="00D07BE6" w:rsidP="0062063C">
      <w:pPr>
        <w:spacing w:line="360" w:lineRule="auto"/>
        <w:jc w:val="both"/>
        <w:rPr>
          <w:rFonts w:cs="Tahoma"/>
        </w:rPr>
      </w:pPr>
      <w:r w:rsidRPr="0062063C">
        <w:rPr>
          <w:rFonts w:cs="Tahoma"/>
        </w:rPr>
        <w:t xml:space="preserve">Il a expliqué qu’aujourd’hui la question des nullités textuelles ne pose pas réellement de problèmes contrairement à celle des nullités substantielles prévues par les articles 164 à 166 du Code de procédure pénale au  prononcé desquelles les juridictions sont encore réticentes. </w:t>
      </w:r>
    </w:p>
    <w:p w:rsidR="00D07BE6" w:rsidRPr="0062063C" w:rsidRDefault="00D07BE6" w:rsidP="0062063C">
      <w:pPr>
        <w:spacing w:line="360" w:lineRule="auto"/>
        <w:jc w:val="both"/>
        <w:rPr>
          <w:rFonts w:cs="Tahoma"/>
        </w:rPr>
      </w:pPr>
      <w:r w:rsidRPr="0062063C">
        <w:rPr>
          <w:rFonts w:cs="Tahoma"/>
        </w:rPr>
        <w:t>Pour lui, les chambres criminelles exigent à tort un grief pour justifier l’annulation d’une procédure suite à la violation d’une formalité substantielle parce qu’aucune disposition du Code de procédure pénale ne prévoit une telle condition, les seuls textes faisant état d’un grief étant les articles 540 à 541 qui concernent les citations en justice.</w:t>
      </w:r>
    </w:p>
    <w:p w:rsidR="00D07BE6" w:rsidRPr="0062063C" w:rsidRDefault="00D07BE6" w:rsidP="0062063C">
      <w:pPr>
        <w:spacing w:line="360" w:lineRule="auto"/>
        <w:jc w:val="both"/>
        <w:rPr>
          <w:rFonts w:cs="Tahoma"/>
        </w:rPr>
      </w:pPr>
      <w:r w:rsidRPr="0062063C">
        <w:rPr>
          <w:rFonts w:cs="Tahoma"/>
        </w:rPr>
        <w:t>Pour les cas de nullités substantielles, il a distingué les nullités relatives qui protègent des intérêts privés de celles d’ordre public qui, elles, sanctionnent les atteintes aux règles de procédure à savoir celles régissant l’organisation judiciaire, la compétence des juridictions ainsi que la composition de celles-ci.</w:t>
      </w:r>
    </w:p>
    <w:p w:rsidR="00D07BE6" w:rsidRPr="0062063C" w:rsidRDefault="00D07BE6" w:rsidP="0062063C">
      <w:pPr>
        <w:spacing w:line="360" w:lineRule="auto"/>
        <w:jc w:val="both"/>
        <w:rPr>
          <w:rFonts w:cs="Tahoma"/>
        </w:rPr>
      </w:pPr>
      <w:r w:rsidRPr="0062063C">
        <w:rPr>
          <w:rFonts w:cs="Tahoma"/>
        </w:rPr>
        <w:t>S’agissant de la mise en œuvre, Monsieur DIAKHOUMPA a mis l’accent sur trois moyens de réparer les nullités :</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t>la renonciation par la personne poursuivie ou par le plaignant à la protection qui lui est accordée, d’où l’intérêt pour les juges de devoir qualifier les formalités qui ont été omises au moment du prononcé de la nullité des procédures.</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t>la réfaction des actes viciés telle que prévue par l’article 147 du Code de procédure pénale. A son avis, des irrégularités subsistent à cette réfaction de sorte qu’il est nécessaire pour le juge d’instruction qui refait les actes initialement confiés à un Officier de Police Judiciaire, dans le cadre d’une délégation judiciaire, de saisir la chambre d’accusation par requête afin d’annuler lesdits actes.</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t>la neutralisation des nullités : il a été rappelé la survivance de la disposition en vertu de laquelle l’arrêt de renvoi de la chambre d’accusation devant la chambre criminelle purge la procédure de cas vices et empêche de ce fait de soulever des exceptions de nullité devant la juridiction de jugement.</w:t>
      </w:r>
    </w:p>
    <w:p w:rsidR="00D07BE6" w:rsidRPr="0062063C" w:rsidRDefault="00D07BE6" w:rsidP="0062063C">
      <w:pPr>
        <w:spacing w:line="360" w:lineRule="auto"/>
        <w:jc w:val="both"/>
        <w:rPr>
          <w:rFonts w:cs="Tahoma"/>
        </w:rPr>
      </w:pPr>
      <w:r w:rsidRPr="0062063C">
        <w:rPr>
          <w:rFonts w:cs="Tahoma"/>
        </w:rPr>
        <w:lastRenderedPageBreak/>
        <w:t xml:space="preserve">A la fin de sa présentation, le modérateur a permis à Monsieur </w:t>
      </w:r>
      <w:proofErr w:type="spellStart"/>
      <w:r w:rsidRPr="0062063C">
        <w:rPr>
          <w:rFonts w:cs="Tahoma"/>
        </w:rPr>
        <w:t>Barou</w:t>
      </w:r>
      <w:proofErr w:type="spellEnd"/>
      <w:r w:rsidRPr="0062063C">
        <w:rPr>
          <w:rFonts w:cs="Tahoma"/>
        </w:rPr>
        <w:t xml:space="preserve"> DIOP de faire la sienne qui a consisté en l’exposé des cas de nullité les plus fréquemment soulevés devant les chambres criminelles du ressort de la Cour d’appel de Saint-Louis. Ainsi, il a été question d’une annulation systématique lorsque les articles 101 à 105 du Code de procédure pénale sont violés, en application de l’article 164 du même Code. Sur les nullités textuelles donc, les positions sont presque unanimes, ce qui n’est pas le cas s’agissant de celles substantielles dont la définition elle-même fait débat.</w:t>
      </w:r>
    </w:p>
    <w:p w:rsidR="00D07BE6" w:rsidRPr="0062063C" w:rsidRDefault="00D07BE6" w:rsidP="0062063C">
      <w:pPr>
        <w:spacing w:line="360" w:lineRule="auto"/>
        <w:jc w:val="both"/>
        <w:rPr>
          <w:rFonts w:cs="Tahoma"/>
        </w:rPr>
      </w:pPr>
      <w:r w:rsidRPr="0062063C">
        <w:rPr>
          <w:rFonts w:cs="Tahoma"/>
        </w:rPr>
        <w:t>Pour l’intervenant, en présence de formalités non expressément sanctionnées par la nullité, il faut vérifier, avant de prononcer l’annulation d’une procédure devant la chambre criminelle, que la formalité omise est substantielle et que la personne protégée n’a pas manifesté sa volonté d’y renoncer sachant qu’il lui incombe de prouver l’existence d’un grief découlant de cette violation.</w:t>
      </w:r>
    </w:p>
    <w:p w:rsidR="00D07BE6" w:rsidRPr="0062063C" w:rsidRDefault="00D07BE6" w:rsidP="0062063C">
      <w:pPr>
        <w:spacing w:line="360" w:lineRule="auto"/>
        <w:jc w:val="both"/>
        <w:rPr>
          <w:rFonts w:cs="Tahoma"/>
        </w:rPr>
      </w:pPr>
      <w:r w:rsidRPr="0062063C">
        <w:rPr>
          <w:rFonts w:cs="Tahoma"/>
        </w:rPr>
        <w:t>Après avoir abordé les cas de nullité, le présentateur s’est arrêté sur l’étendue de celle-ci en dégageant deux situations.</w:t>
      </w:r>
    </w:p>
    <w:p w:rsidR="00D07BE6" w:rsidRPr="0062063C" w:rsidRDefault="00D07BE6" w:rsidP="0062063C">
      <w:pPr>
        <w:spacing w:line="360" w:lineRule="auto"/>
        <w:jc w:val="both"/>
        <w:rPr>
          <w:rFonts w:cs="Tahoma"/>
        </w:rPr>
      </w:pPr>
      <w:r w:rsidRPr="0062063C">
        <w:rPr>
          <w:rFonts w:cs="Tahoma"/>
        </w:rPr>
        <w:t>Lorsque l’annulation est prononcée en application des articles 101, 105 et 164 du Code de procédure pénale, elle s’étend aussi bien à l’acte vicié qu’à toute la procédure.</w:t>
      </w:r>
    </w:p>
    <w:p w:rsidR="00D07BE6" w:rsidRPr="0062063C" w:rsidRDefault="00D07BE6" w:rsidP="0062063C">
      <w:pPr>
        <w:spacing w:line="360" w:lineRule="auto"/>
        <w:jc w:val="both"/>
        <w:rPr>
          <w:rFonts w:cs="Tahoma"/>
        </w:rPr>
      </w:pPr>
      <w:r w:rsidRPr="0062063C">
        <w:rPr>
          <w:rFonts w:cs="Tahoma"/>
        </w:rPr>
        <w:t>Par contre, lorsqu’elle résulte de l’application d’autres textes tel</w:t>
      </w:r>
      <w:r w:rsidR="009227AC">
        <w:rPr>
          <w:rFonts w:cs="Tahoma"/>
        </w:rPr>
        <w:t>s</w:t>
      </w:r>
      <w:r w:rsidRPr="0062063C">
        <w:rPr>
          <w:rFonts w:cs="Tahoma"/>
        </w:rPr>
        <w:t xml:space="preserve"> que l’article 55 du même Code, le juge ne doit annuler toute la procédure qu’après avoir suffisamment établi que l’acte vicié a servi de support à la procédure subséquente, à défaut de quoi il doit limiter la nullité à l’acte irrégulier.</w:t>
      </w:r>
    </w:p>
    <w:p w:rsidR="00D07BE6" w:rsidRPr="0062063C" w:rsidRDefault="00D07BE6" w:rsidP="0062063C">
      <w:pPr>
        <w:spacing w:line="360" w:lineRule="auto"/>
        <w:jc w:val="both"/>
        <w:rPr>
          <w:rFonts w:cs="Tahoma"/>
        </w:rPr>
      </w:pPr>
      <w:r w:rsidRPr="0062063C">
        <w:rPr>
          <w:rFonts w:cs="Tahoma"/>
        </w:rPr>
        <w:t>Enfin, en guise de recommandations, le Président DIOP a proposé d’une part, l’édiction d’un délai au terme duquel il ne serait plus possible de se prévaloir devant la chambre criminelle, d’une nullité comme sanction de la violation d’un acte d’instruction ou d’enquête préliminaire et, d’autre part, la saisine de la chambre d’accusation après chaque procédure d’instruction en matière criminelle pour lui permettre de purger tous les vices de procédure et ainsi de ne renvoyer que des procédures pures devant les chambres criminelles.</w:t>
      </w:r>
    </w:p>
    <w:p w:rsidR="00D07BE6" w:rsidRPr="0062063C" w:rsidRDefault="00D07BE6" w:rsidP="0062063C">
      <w:pPr>
        <w:spacing w:line="360" w:lineRule="auto"/>
        <w:jc w:val="both"/>
        <w:rPr>
          <w:rFonts w:cs="Tahoma"/>
        </w:rPr>
      </w:pPr>
      <w:r w:rsidRPr="0062063C">
        <w:rPr>
          <w:rFonts w:cs="Tahoma"/>
        </w:rPr>
        <w:t>A 11h16min, la séance a été suspendue pour la pause-café et a repris à 11h45 avec les discussions. Il est résulté de celles-ci que le respect de certaines formalités telles que la convocation et le délai d’attente du conseil avant la première comparution est presque impossible voire inutile dans des régions comme Matam où l’absence d’avocats fait que le délai de 24 h imposé est insuffisant pour un conseil qui doit arriver de Dakar.</w:t>
      </w:r>
    </w:p>
    <w:p w:rsidR="00D07BE6" w:rsidRPr="0062063C" w:rsidRDefault="00D07BE6" w:rsidP="0062063C">
      <w:pPr>
        <w:spacing w:line="360" w:lineRule="auto"/>
        <w:jc w:val="both"/>
        <w:rPr>
          <w:rFonts w:cs="Tahoma"/>
        </w:rPr>
      </w:pPr>
      <w:r w:rsidRPr="0062063C">
        <w:rPr>
          <w:rFonts w:cs="Tahoma"/>
        </w:rPr>
        <w:lastRenderedPageBreak/>
        <w:t xml:space="preserve">Il s’est également posé un débat sur le caractère substantiel ou pas de l’autorisation de prolongation de la garde à vue par le Procureur de la République. A ce sujet, le Président </w:t>
      </w:r>
      <w:proofErr w:type="spellStart"/>
      <w:r w:rsidRPr="0062063C">
        <w:rPr>
          <w:rFonts w:cs="Tahoma"/>
        </w:rPr>
        <w:t>Ndiambé</w:t>
      </w:r>
      <w:proofErr w:type="spellEnd"/>
      <w:r w:rsidRPr="0062063C">
        <w:rPr>
          <w:rFonts w:cs="Tahoma"/>
        </w:rPr>
        <w:t xml:space="preserve"> GAYE a attiré l’attention sur le fait que les Procureurs ne contrôlent pas véritablement les raisons pour lesquelles la garde à vue est prolongée si bien que seul l’acte d’autorisation permet de régulariser les procès-verbaux d’audition rédigés après ladite prolongation. Il a également invité à intégrer les conventions internationales ratifiées par le Sénégal dans la sauvegarde des droits de la défense, le rôle du magistrat étant moins de rester figé dans la législation que de faire évoluer le droit.</w:t>
      </w:r>
    </w:p>
    <w:p w:rsidR="00D07BE6" w:rsidRPr="0062063C" w:rsidRDefault="00D07BE6" w:rsidP="0062063C">
      <w:pPr>
        <w:spacing w:line="360" w:lineRule="auto"/>
        <w:jc w:val="both"/>
        <w:rPr>
          <w:rFonts w:cs="Tahoma"/>
        </w:rPr>
      </w:pPr>
      <w:r w:rsidRPr="0062063C">
        <w:rPr>
          <w:rFonts w:cs="Tahoma"/>
        </w:rPr>
        <w:t>Pour sa part, Monsieur FAYE, Procureur de la République près le Tribunal de Grande Instance de Louga a interrogé l’assemblée sur la légalité de la reprise des poursuites suite à l’annulation d’une procédure par la chambre criminelle et il lui a été répondu que tant que l’action publique n’est pas prescrite, rien ne s’oppose à une telle reprise mais que pour respecter les droits de la défense, il convient de prendre en compte la durée de la détention déjà effectuée.</w:t>
      </w:r>
    </w:p>
    <w:p w:rsidR="00D07BE6" w:rsidRPr="0062063C" w:rsidRDefault="00D07BE6" w:rsidP="0062063C">
      <w:pPr>
        <w:spacing w:line="360" w:lineRule="auto"/>
        <w:jc w:val="both"/>
        <w:rPr>
          <w:rFonts w:cs="Tahoma"/>
        </w:rPr>
      </w:pPr>
      <w:r w:rsidRPr="0062063C">
        <w:rPr>
          <w:rFonts w:cs="Tahoma"/>
        </w:rPr>
        <w:t>Relativement aux suggestions faites par le Président DIOP, Monsieur FAYE a estimé que le renvoi des procédures devant la chambre d’accusation entrainerait des lenteurs et des lourdeurs qui seraient en contradiction avec la réforme en ce que celle-ci vise la célérité des procédures. Il a ajouté qu’accorder un délai aux conseils pour leur permettre de soulever toutes les questions de procédures avant la saisine de la chambre criminelle serait vain dans la mesure où ils ne se présentent qu’en phase de jugement.</w:t>
      </w:r>
    </w:p>
    <w:p w:rsidR="00D07BE6" w:rsidRPr="0062063C" w:rsidRDefault="00D07BE6" w:rsidP="0062063C">
      <w:pPr>
        <w:spacing w:line="360" w:lineRule="auto"/>
        <w:jc w:val="both"/>
        <w:rPr>
          <w:rFonts w:cs="Tahoma"/>
        </w:rPr>
      </w:pPr>
      <w:r w:rsidRPr="0062063C">
        <w:rPr>
          <w:rFonts w:cs="Tahoma"/>
        </w:rPr>
        <w:t>Toujours dans le cadre des discussions, le juge SOUMARE a proposé aux juridictions de jugement de faire une plus fréquente utilisation de l’article 168 du Code de procédure pénale qui leur donne la possibilité d’ordonner un supplément d’informations pour amoindrir les effets de l’annulation d’un acte de procédure. Il a également fait noter l’inexistence de permanence d’avocats dans les tribunaux pour faciliter la commission d’office des conseils et le fait que ceux-ci ne consultent généralement pas les procédures mises à leur disposition à la fin de l’information.</w:t>
      </w:r>
    </w:p>
    <w:p w:rsidR="00D07BE6" w:rsidRPr="0062063C" w:rsidRDefault="00D07BE6" w:rsidP="0062063C">
      <w:pPr>
        <w:spacing w:line="360" w:lineRule="auto"/>
        <w:jc w:val="both"/>
        <w:rPr>
          <w:rFonts w:cs="Tahoma"/>
        </w:rPr>
      </w:pPr>
      <w:r w:rsidRPr="0062063C">
        <w:rPr>
          <w:rFonts w:cs="Tahoma"/>
        </w:rPr>
        <w:t>Il est résulté des débats et des présentations, des recommandations qu’il convient de sérier selon qu’elles sont de nature à conduire à une réforme ou à une simple harmonisation des pratiques.</w:t>
      </w:r>
    </w:p>
    <w:p w:rsidR="00D07BE6" w:rsidRPr="0062063C" w:rsidRDefault="00D07BE6" w:rsidP="0062063C">
      <w:pPr>
        <w:spacing w:line="360" w:lineRule="auto"/>
        <w:jc w:val="both"/>
        <w:rPr>
          <w:rFonts w:cs="Tahoma"/>
        </w:rPr>
      </w:pPr>
      <w:r w:rsidRPr="0062063C">
        <w:rPr>
          <w:rFonts w:cs="Tahoma"/>
        </w:rPr>
        <w:t>Pour ce qui est d’une potentielle réforme, il a été proposé de :</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lastRenderedPageBreak/>
        <w:t>légaliser le sort des mis en cause présentés devant le Procureur  ou le Juge d’instruction en attente de leurs conseils (retours de parquet) ;</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t>prévoir un délai de forclusion pour permettre aux conseils de relever toutes les irrégularités contenues dans les procédures afin que celles-ci arrivent pures devant la chambre criminelle ;</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t>rétablir le double degré d’instruction en matière criminelle afin que la chambre d’accusation puisse régulariser toutes les procédures avant leur renvoi en chambre criminelle.</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t>installer des permanences d’avocats pour faciliter les commissions d’office ;</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t>mettre en place une assistance judiciaire pour motiver les conseils commis d’office qui pourront obtenir paiement de leurs honoraires dès présentation d’une ordonnance de service fait délivrée par le juge d’instruction ainsi que de la lettre de commission d’office.</w:t>
      </w:r>
    </w:p>
    <w:p w:rsidR="00D07BE6" w:rsidRPr="0062063C" w:rsidRDefault="00D07BE6" w:rsidP="0062063C">
      <w:pPr>
        <w:spacing w:line="360" w:lineRule="auto"/>
        <w:jc w:val="both"/>
        <w:rPr>
          <w:rFonts w:cs="Tahoma"/>
        </w:rPr>
      </w:pPr>
      <w:r w:rsidRPr="0062063C">
        <w:rPr>
          <w:rFonts w:cs="Tahoma"/>
        </w:rPr>
        <w:t>Pour ce qui est de l’harmonisation des pratiques, il a été suggéré de :</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t>procéder à l’annulation totale de la procédure en cas de violation des formalités prévues par les articles 101 à 105 du Code de procédure pénale ;</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t>caractériser l’impact d’un acte irrégulier sur la procédure subséquente pour déterminer l’étendue de l’annulation, qu’elle doive être totale ou partielle ;</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t>mentionner expressément le respect du délai de 24h imparti au conseil pour la première comparution ainsi que le cas échéant, l’autorisation donnée par le Procureur de prolonger la garde à vue ;</w:t>
      </w:r>
    </w:p>
    <w:p w:rsidR="00D07BE6" w:rsidRPr="0062063C" w:rsidRDefault="00D07BE6" w:rsidP="0062063C">
      <w:pPr>
        <w:pStyle w:val="Paragraphedeliste"/>
        <w:numPr>
          <w:ilvl w:val="0"/>
          <w:numId w:val="22"/>
        </w:numPr>
        <w:spacing w:after="200" w:line="360" w:lineRule="auto"/>
        <w:jc w:val="both"/>
        <w:rPr>
          <w:rFonts w:cs="Tahoma"/>
        </w:rPr>
      </w:pPr>
      <w:r w:rsidRPr="0062063C">
        <w:rPr>
          <w:rFonts w:cs="Tahoma"/>
        </w:rPr>
        <w:t>appliquer plus régulièrement l’article 168 du Code de procédure pénale afin d’amoindrir l’incidence de l’annulation d’un acte dans la poursuite de la procédure non totalement annulée ;</w:t>
      </w:r>
    </w:p>
    <w:p w:rsidR="00D07BE6" w:rsidRPr="0062063C" w:rsidRDefault="00D07BE6" w:rsidP="0062063C">
      <w:pPr>
        <w:spacing w:line="360" w:lineRule="auto"/>
        <w:jc w:val="both"/>
        <w:rPr>
          <w:rFonts w:cs="Tahoma"/>
        </w:rPr>
      </w:pPr>
      <w:r w:rsidRPr="0062063C">
        <w:rPr>
          <w:rFonts w:cs="Tahoma"/>
        </w:rPr>
        <w:t>Ces recommandations ayant été adoptées par l’assistance, le directeur du CFJ a remercié l’assemblée et procédé, à 14h15 à la clôture du séminaire en levant la séance.</w:t>
      </w:r>
    </w:p>
    <w:p w:rsidR="00D07BE6" w:rsidRPr="0062063C" w:rsidRDefault="00D07BE6" w:rsidP="0062063C">
      <w:pPr>
        <w:spacing w:line="360" w:lineRule="auto"/>
        <w:jc w:val="both"/>
        <w:rPr>
          <w:rFonts w:cs="Tahoma"/>
        </w:rPr>
      </w:pPr>
    </w:p>
    <w:p w:rsidR="00B516EC" w:rsidRPr="00B516EC" w:rsidRDefault="00B553F4" w:rsidP="00B516EC">
      <w:pPr>
        <w:spacing w:after="160" w:line="259" w:lineRule="auto"/>
      </w:pPr>
      <w:r>
        <w:br w:type="page"/>
      </w:r>
      <w:r w:rsidR="00B516EC" w:rsidRPr="00B92883">
        <w:rPr>
          <w:rFonts w:ascii="Lucida Fax" w:hAnsi="Lucida Fax" w:cs="CordiaUPC"/>
          <w:b/>
        </w:rPr>
        <w:lastRenderedPageBreak/>
        <w:t>CENTRE DE FORMATION JUDICIAIRE</w:t>
      </w:r>
      <w:r w:rsidR="00B516EC">
        <w:rPr>
          <w:rFonts w:ascii="Lucida Fax" w:hAnsi="Lucida Fax" w:cs="CordiaUPC"/>
          <w:b/>
        </w:rPr>
        <w:t xml:space="preserve"> ET </w:t>
      </w:r>
      <w:r w:rsidR="00B516EC" w:rsidRPr="00B92883">
        <w:rPr>
          <w:rFonts w:ascii="Lucida Fax" w:hAnsi="Lucida Fax" w:cs="CordiaUPC"/>
          <w:b/>
        </w:rPr>
        <w:t xml:space="preserve">COUR D’APPEL DE </w:t>
      </w:r>
      <w:r w:rsidR="00B516EC">
        <w:rPr>
          <w:rFonts w:ascii="Lucida Fax" w:hAnsi="Lucida Fax" w:cs="CordiaUPC"/>
          <w:b/>
        </w:rPr>
        <w:t>ZIGUINCHOR</w:t>
      </w:r>
    </w:p>
    <w:p w:rsidR="00811E1A" w:rsidRPr="00983CA6" w:rsidRDefault="00811E1A" w:rsidP="00811E1A">
      <w:pPr>
        <w:spacing w:line="360" w:lineRule="auto"/>
        <w:ind w:left="2832" w:firstLine="708"/>
        <w:rPr>
          <w:sz w:val="40"/>
          <w:szCs w:val="36"/>
        </w:rPr>
      </w:pPr>
    </w:p>
    <w:p w:rsidR="00811E1A" w:rsidRDefault="00811E1A" w:rsidP="00811E1A">
      <w:pPr>
        <w:jc w:val="center"/>
      </w:pPr>
    </w:p>
    <w:p w:rsidR="00811E1A" w:rsidRDefault="00811E1A" w:rsidP="00811E1A">
      <w:pPr>
        <w:jc w:val="center"/>
      </w:pPr>
    </w:p>
    <w:p w:rsidR="00811E1A" w:rsidRDefault="00811E1A" w:rsidP="00811E1A">
      <w:pPr>
        <w:jc w:val="center"/>
      </w:pPr>
    </w:p>
    <w:p w:rsidR="00811E1A" w:rsidRDefault="00811E1A" w:rsidP="00811E1A">
      <w:pPr>
        <w:jc w:val="center"/>
      </w:pPr>
    </w:p>
    <w:p w:rsidR="00811E1A" w:rsidRDefault="00811E1A" w:rsidP="00811E1A">
      <w:pPr>
        <w:jc w:val="center"/>
      </w:pPr>
    </w:p>
    <w:p w:rsidR="00811E1A" w:rsidRPr="006A105E" w:rsidRDefault="00811E1A" w:rsidP="00811E1A">
      <w:pPr>
        <w:ind w:left="2832"/>
        <w:rPr>
          <w:rFonts w:ascii="Agency FB" w:hAnsi="Agency FB"/>
          <w:b/>
        </w:rPr>
      </w:pPr>
      <w:r>
        <w:rPr>
          <w:rFonts w:ascii="Agency FB" w:hAnsi="Agency FB"/>
          <w:b/>
        </w:rPr>
        <w:t xml:space="preserve">                          </w:t>
      </w:r>
    </w:p>
    <w:p w:rsidR="00B553F4" w:rsidRDefault="00B553F4" w:rsidP="00B553F4">
      <w:pPr>
        <w:spacing w:after="160" w:line="259" w:lineRule="auto"/>
        <w:jc w:val="center"/>
      </w:pPr>
    </w:p>
    <w:p w:rsidR="00B553F4" w:rsidRDefault="00B553F4" w:rsidP="00B553F4">
      <w:pPr>
        <w:spacing w:after="160" w:line="259" w:lineRule="auto"/>
        <w:jc w:val="center"/>
      </w:pPr>
    </w:p>
    <w:p w:rsidR="00B553F4" w:rsidRDefault="00B553F4" w:rsidP="00B553F4">
      <w:pPr>
        <w:spacing w:after="160" w:line="259" w:lineRule="auto"/>
        <w:jc w:val="center"/>
      </w:pPr>
    </w:p>
    <w:p w:rsidR="00B553F4" w:rsidRDefault="00B553F4" w:rsidP="00B553F4">
      <w:pPr>
        <w:spacing w:after="160" w:line="259" w:lineRule="auto"/>
        <w:jc w:val="center"/>
      </w:pPr>
    </w:p>
    <w:p w:rsidR="00B553F4" w:rsidRDefault="00B553F4" w:rsidP="00B553F4">
      <w:pPr>
        <w:spacing w:after="160" w:line="259" w:lineRule="auto"/>
        <w:jc w:val="center"/>
      </w:pPr>
    </w:p>
    <w:p w:rsidR="00B553F4" w:rsidRDefault="00B553F4" w:rsidP="00B553F4">
      <w:pPr>
        <w:spacing w:after="160" w:line="259" w:lineRule="auto"/>
        <w:jc w:val="center"/>
      </w:pPr>
    </w:p>
    <w:p w:rsidR="00B553F4" w:rsidRDefault="00B553F4" w:rsidP="00B553F4">
      <w:pPr>
        <w:spacing w:after="160" w:line="259" w:lineRule="auto"/>
        <w:jc w:val="center"/>
      </w:pPr>
    </w:p>
    <w:p w:rsidR="00B553F4" w:rsidRDefault="00B553F4" w:rsidP="00B553F4">
      <w:pPr>
        <w:spacing w:after="160" w:line="259" w:lineRule="auto"/>
        <w:jc w:val="center"/>
      </w:pPr>
    </w:p>
    <w:p w:rsidR="00B553F4" w:rsidRDefault="00B553F4" w:rsidP="00B553F4">
      <w:pPr>
        <w:spacing w:after="160" w:line="259" w:lineRule="auto"/>
        <w:jc w:val="center"/>
      </w:pPr>
    </w:p>
    <w:p w:rsidR="00B553F4" w:rsidRPr="00C56B28" w:rsidRDefault="00B553F4" w:rsidP="00B553F4">
      <w:pPr>
        <w:spacing w:after="160" w:line="259" w:lineRule="auto"/>
        <w:jc w:val="center"/>
        <w:rPr>
          <w:b/>
        </w:rPr>
      </w:pPr>
      <w:r w:rsidRPr="00C56B28">
        <w:rPr>
          <w:b/>
        </w:rPr>
        <w:t>RAPPORT SEMINAIRE SUR LES CHAMBRES CRIMINELLES</w:t>
      </w:r>
    </w:p>
    <w:p w:rsidR="00B553F4" w:rsidRDefault="00B553F4" w:rsidP="00B553F4">
      <w:pPr>
        <w:spacing w:after="120"/>
        <w:jc w:val="center"/>
        <w:rPr>
          <w:rFonts w:ascii="Times New Roman" w:hAnsi="Times New Roman" w:cs="Times New Roman"/>
          <w:b/>
          <w:i/>
        </w:rPr>
      </w:pPr>
    </w:p>
    <w:p w:rsidR="00B553F4" w:rsidRPr="00FA1C28" w:rsidRDefault="00B553F4" w:rsidP="00B553F4">
      <w:pPr>
        <w:spacing w:line="360" w:lineRule="auto"/>
        <w:jc w:val="center"/>
        <w:rPr>
          <w:rFonts w:ascii="Times New Roman" w:hAnsi="Times New Roman" w:cs="Times New Roman"/>
          <w:b/>
        </w:rPr>
      </w:pPr>
      <w:r w:rsidRPr="00FA1C28">
        <w:rPr>
          <w:rFonts w:ascii="Times New Roman" w:hAnsi="Times New Roman" w:cs="Times New Roman"/>
          <w:b/>
        </w:rPr>
        <w:t>ZIGUINCHOR, LE 08 FEVRIER 2018</w:t>
      </w:r>
    </w:p>
    <w:p w:rsidR="00B553F4" w:rsidRDefault="00B553F4" w:rsidP="00B553F4">
      <w:pPr>
        <w:spacing w:after="120"/>
        <w:jc w:val="center"/>
        <w:rPr>
          <w:rFonts w:ascii="Times New Roman" w:hAnsi="Times New Roman" w:cs="Times New Roman"/>
          <w:b/>
        </w:rPr>
      </w:pPr>
    </w:p>
    <w:p w:rsidR="00B553F4" w:rsidRDefault="00B553F4" w:rsidP="00B553F4">
      <w:pPr>
        <w:spacing w:after="160" w:line="259" w:lineRule="auto"/>
        <w:jc w:val="center"/>
        <w:rPr>
          <w:rFonts w:ascii="Times New Roman" w:hAnsi="Times New Roman" w:cs="Times New Roman"/>
          <w:b/>
        </w:rPr>
      </w:pPr>
    </w:p>
    <w:p w:rsidR="00B553F4" w:rsidRDefault="00B516EC" w:rsidP="00B553F4">
      <w:pPr>
        <w:spacing w:after="160" w:line="259" w:lineRule="auto"/>
        <w:jc w:val="center"/>
        <w:rPr>
          <w:rFonts w:ascii="Monotype Corsiva" w:hAnsi="Monotype Corsiva"/>
          <w:b/>
          <w:bCs/>
          <w:i/>
          <w:iCs/>
          <w:szCs w:val="20"/>
        </w:rPr>
      </w:pPr>
      <w:r>
        <w:rPr>
          <w:noProof/>
        </w:rPr>
        <w:drawing>
          <wp:anchor distT="0" distB="0" distL="114300" distR="114300" simplePos="0" relativeHeight="251673600" behindDoc="0" locked="0" layoutInCell="1" allowOverlap="1" wp14:anchorId="4057B897" wp14:editId="00514ECD">
            <wp:simplePos x="0" y="0"/>
            <wp:positionH relativeFrom="column">
              <wp:posOffset>1755775</wp:posOffset>
            </wp:positionH>
            <wp:positionV relativeFrom="paragraph">
              <wp:posOffset>2847975</wp:posOffset>
            </wp:positionV>
            <wp:extent cx="1990725" cy="717550"/>
            <wp:effectExtent l="0" t="0" r="9525" b="6350"/>
            <wp:wrapSquare wrapText="bothSides"/>
            <wp:docPr id="15"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7" cstate="print"/>
                    <a:srcRect l="24503" t="47961" r="28311" b="27754"/>
                    <a:stretch>
                      <a:fillRect/>
                    </a:stretch>
                  </pic:blipFill>
                  <pic:spPr bwMode="auto">
                    <a:xfrm>
                      <a:off x="0" y="0"/>
                      <a:ext cx="1990725" cy="717550"/>
                    </a:xfrm>
                    <a:prstGeom prst="rect">
                      <a:avLst/>
                    </a:prstGeom>
                    <a:noFill/>
                    <a:ln w="9525">
                      <a:noFill/>
                      <a:miter lim="800000"/>
                      <a:headEnd/>
                      <a:tailEnd/>
                    </a:ln>
                  </pic:spPr>
                </pic:pic>
              </a:graphicData>
            </a:graphic>
          </wp:anchor>
        </w:drawing>
      </w:r>
      <w:r w:rsidR="00B553F4">
        <w:br w:type="page"/>
      </w:r>
      <w:r w:rsidR="00B553F4">
        <w:rPr>
          <w:rFonts w:ascii="Monotype Corsiva" w:hAnsi="Monotype Corsiva"/>
          <w:b/>
          <w:i/>
          <w:noProof/>
          <w:szCs w:val="20"/>
        </w:rPr>
        <w:lastRenderedPageBreak/>
        <w:drawing>
          <wp:inline distT="0" distB="0" distL="0" distR="0" wp14:anchorId="2B3F2DE7" wp14:editId="31D0B76F">
            <wp:extent cx="1204595" cy="518795"/>
            <wp:effectExtent l="0" t="0" r="0" b="0"/>
            <wp:docPr id="9" name="Image 9" descr="Drapeau du Séné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descr="Drapeau du Sénéga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4595" cy="518795"/>
                    </a:xfrm>
                    <a:prstGeom prst="rect">
                      <a:avLst/>
                    </a:prstGeom>
                    <a:noFill/>
                    <a:ln>
                      <a:noFill/>
                    </a:ln>
                  </pic:spPr>
                </pic:pic>
              </a:graphicData>
            </a:graphic>
          </wp:inline>
        </w:drawing>
      </w:r>
    </w:p>
    <w:p w:rsidR="00B553F4" w:rsidRDefault="00B553F4" w:rsidP="00B553F4">
      <w:pPr>
        <w:jc w:val="center"/>
        <w:rPr>
          <w:rFonts w:ascii="Times New Roman" w:hAnsi="Times New Roman"/>
          <w:bCs/>
          <w:iCs/>
          <w:sz w:val="14"/>
          <w:szCs w:val="20"/>
        </w:rPr>
      </w:pPr>
      <w:r>
        <w:rPr>
          <w:bCs/>
          <w:iCs/>
          <w:sz w:val="14"/>
          <w:szCs w:val="20"/>
        </w:rPr>
        <w:t>REPUBLIQUE DU SENEGAL</w:t>
      </w:r>
    </w:p>
    <w:p w:rsidR="00B553F4" w:rsidRDefault="00B553F4" w:rsidP="00B553F4">
      <w:pPr>
        <w:jc w:val="center"/>
        <w:rPr>
          <w:rFonts w:ascii="Monotype Corsiva" w:hAnsi="Monotype Corsiva"/>
          <w:b/>
          <w:bCs/>
          <w:i/>
          <w:iCs/>
          <w:szCs w:val="20"/>
        </w:rPr>
      </w:pPr>
      <w:r>
        <w:rPr>
          <w:rFonts w:ascii="Monotype Corsiva" w:hAnsi="Monotype Corsiva"/>
          <w:b/>
          <w:bCs/>
          <w:i/>
          <w:iCs/>
          <w:szCs w:val="20"/>
        </w:rPr>
        <w:t>Un Peuple – Un But – Une Foi</w:t>
      </w:r>
    </w:p>
    <w:p w:rsidR="00B553F4" w:rsidRDefault="00B553F4" w:rsidP="00B553F4">
      <w:pPr>
        <w:jc w:val="center"/>
        <w:rPr>
          <w:rFonts w:ascii="Bookman Old Style" w:hAnsi="Bookman Old Style"/>
          <w:b/>
          <w:bCs/>
          <w:sz w:val="20"/>
          <w:szCs w:val="20"/>
        </w:rPr>
      </w:pPr>
      <w:r>
        <w:rPr>
          <w:rFonts w:ascii="Bookman Old Style" w:hAnsi="Bookman Old Style"/>
          <w:b/>
          <w:bCs/>
          <w:sz w:val="20"/>
          <w:szCs w:val="20"/>
        </w:rPr>
        <w:t>MINISTERE DE LA JUSTICE</w:t>
      </w:r>
    </w:p>
    <w:p w:rsidR="00B553F4" w:rsidRDefault="00B553F4" w:rsidP="00B553F4">
      <w:pPr>
        <w:jc w:val="center"/>
        <w:rPr>
          <w:rFonts w:ascii="Eras Bold ITC" w:hAnsi="Eras Bold ITC"/>
          <w:b/>
          <w:bCs/>
          <w:sz w:val="16"/>
        </w:rPr>
      </w:pPr>
      <w:r>
        <w:rPr>
          <w:rFonts w:ascii="Eras Bold ITC" w:hAnsi="Eras Bold ITC"/>
          <w:b/>
          <w:bCs/>
          <w:sz w:val="16"/>
        </w:rPr>
        <w:t xml:space="preserve">COUR D’APPEL DE </w:t>
      </w:r>
      <w:r w:rsidR="00811E1A">
        <w:rPr>
          <w:rFonts w:ascii="Eras Bold ITC" w:hAnsi="Eras Bold ITC"/>
          <w:b/>
          <w:bCs/>
          <w:sz w:val="16"/>
        </w:rPr>
        <w:t>ZIGUINCHOR</w:t>
      </w:r>
    </w:p>
    <w:p w:rsidR="00B553F4" w:rsidRDefault="00B553F4" w:rsidP="00B553F4">
      <w:pPr>
        <w:jc w:val="both"/>
        <w:rPr>
          <w:rFonts w:ascii="Times New Roman" w:hAnsi="Times New Roman" w:cs="Times New Roman"/>
        </w:rPr>
      </w:pPr>
    </w:p>
    <w:p w:rsidR="00B553F4" w:rsidRDefault="00B553F4" w:rsidP="00B553F4">
      <w:pPr>
        <w:jc w:val="center"/>
        <w:rPr>
          <w:rFonts w:ascii="Times New Roman" w:hAnsi="Times New Roman" w:cs="Times New Roman"/>
          <w:b/>
          <w:i/>
        </w:rPr>
      </w:pPr>
    </w:p>
    <w:p w:rsidR="00B553F4" w:rsidRDefault="00B553F4" w:rsidP="00B553F4">
      <w:pPr>
        <w:jc w:val="center"/>
        <w:rPr>
          <w:rFonts w:ascii="Times New Roman" w:hAnsi="Times New Roman" w:cs="Times New Roman"/>
          <w:b/>
          <w:i/>
        </w:rPr>
      </w:pPr>
    </w:p>
    <w:p w:rsidR="00B553F4" w:rsidRDefault="00B553F4" w:rsidP="00B553F4">
      <w:pPr>
        <w:jc w:val="center"/>
        <w:rPr>
          <w:rFonts w:ascii="Times New Roman" w:hAnsi="Times New Roman" w:cs="Times New Roman"/>
          <w:b/>
          <w:i/>
        </w:rPr>
      </w:pPr>
      <w:r>
        <w:rPr>
          <w:rFonts w:ascii="Times New Roman" w:hAnsi="Times New Roman" w:cs="Times New Roman"/>
          <w:b/>
          <w:i/>
        </w:rPr>
        <w:t>SEMINAIRE SUR LES CHAMBRES CRIMINELLES</w:t>
      </w:r>
    </w:p>
    <w:p w:rsidR="00B553F4" w:rsidRPr="009B2B0A" w:rsidRDefault="00B553F4" w:rsidP="00B553F4">
      <w:pPr>
        <w:spacing w:line="360" w:lineRule="auto"/>
        <w:jc w:val="center"/>
        <w:rPr>
          <w:rFonts w:ascii="Times New Roman" w:hAnsi="Times New Roman" w:cs="Times New Roman"/>
          <w:b/>
          <w:i/>
        </w:rPr>
      </w:pPr>
      <w:r w:rsidRPr="009B2B0A">
        <w:rPr>
          <w:rFonts w:ascii="Times New Roman" w:hAnsi="Times New Roman" w:cs="Times New Roman"/>
          <w:b/>
          <w:i/>
        </w:rPr>
        <w:t xml:space="preserve">ZIGUINCHOR, </w:t>
      </w:r>
      <w:r>
        <w:rPr>
          <w:rFonts w:ascii="Times New Roman" w:hAnsi="Times New Roman" w:cs="Times New Roman"/>
          <w:b/>
          <w:i/>
        </w:rPr>
        <w:t xml:space="preserve">LE </w:t>
      </w:r>
      <w:r w:rsidRPr="009B2B0A">
        <w:rPr>
          <w:rFonts w:ascii="Times New Roman" w:hAnsi="Times New Roman" w:cs="Times New Roman"/>
          <w:b/>
          <w:i/>
        </w:rPr>
        <w:t>08 FEVRIER 2018</w:t>
      </w:r>
    </w:p>
    <w:p w:rsidR="00B553F4" w:rsidRDefault="00B553F4" w:rsidP="00B553F4">
      <w:pPr>
        <w:spacing w:after="160" w:line="259" w:lineRule="auto"/>
      </w:pPr>
    </w:p>
    <w:p w:rsidR="00B553F4" w:rsidRDefault="00B553F4" w:rsidP="00B553F4">
      <w:pPr>
        <w:spacing w:line="360" w:lineRule="auto"/>
        <w:jc w:val="center"/>
        <w:rPr>
          <w:b/>
          <w:u w:val="thick"/>
        </w:rPr>
      </w:pPr>
      <w:r>
        <w:rPr>
          <w:b/>
          <w:u w:val="thick"/>
        </w:rPr>
        <w:t>Rapport Séminaire sur les chambres criminelles</w:t>
      </w:r>
    </w:p>
    <w:p w:rsidR="00B553F4" w:rsidRPr="006A7014" w:rsidRDefault="00B553F4" w:rsidP="00B553F4">
      <w:pPr>
        <w:jc w:val="both"/>
        <w:rPr>
          <w:rFonts w:ascii="Times New Roman" w:hAnsi="Times New Roman" w:cs="Times New Roman"/>
        </w:rPr>
      </w:pPr>
      <w:r>
        <w:rPr>
          <w:rFonts w:ascii="Times New Roman" w:hAnsi="Times New Roman" w:cs="Times New Roman"/>
        </w:rPr>
        <w:t xml:space="preserve">                                                 </w:t>
      </w:r>
    </w:p>
    <w:p w:rsidR="00B553F4" w:rsidRPr="00AA255B" w:rsidRDefault="00B553F4" w:rsidP="00B553F4">
      <w:pPr>
        <w:spacing w:line="360" w:lineRule="auto"/>
        <w:jc w:val="both"/>
      </w:pPr>
      <w:r w:rsidRPr="00AA255B">
        <w:t xml:space="preserve">Les travaux du séminaire ont débuté par le mot de bienvenu prononcé par le Procureur général, </w:t>
      </w:r>
      <w:proofErr w:type="spellStart"/>
      <w:r w:rsidRPr="00AA255B">
        <w:t>prés</w:t>
      </w:r>
      <w:proofErr w:type="spellEnd"/>
      <w:r w:rsidRPr="00AA255B">
        <w:t xml:space="preserve"> la Cour d’Appel de Ziguinchor, Monsieur </w:t>
      </w:r>
      <w:proofErr w:type="spellStart"/>
      <w:r w:rsidRPr="00AA255B">
        <w:t>Assane</w:t>
      </w:r>
      <w:proofErr w:type="spellEnd"/>
      <w:r w:rsidRPr="00AA255B">
        <w:t xml:space="preserve"> NDIAYE. Il a profité de l’occasion pour saluer l’initiative d’une telle rencontre qui entre dans le cadre de la formation continue des collègues.</w:t>
      </w:r>
    </w:p>
    <w:p w:rsidR="00B553F4" w:rsidRPr="00AA255B" w:rsidRDefault="00B553F4" w:rsidP="00B553F4">
      <w:pPr>
        <w:spacing w:line="360" w:lineRule="auto"/>
        <w:jc w:val="both"/>
      </w:pPr>
      <w:r w:rsidRPr="00AA255B">
        <w:t>A sa suite, abordant le premier thème relatif à la nullité des procédures en matière criminelle, M.  Idrissa DIARRA, Président du Tribunal de grande Instance de Ziguinchor, a axé son exposé sur deux points, l’un sur les nullités tirées des actes d’instruction et l’autre sur les nullités relatives à la phase d’enquête.</w:t>
      </w:r>
    </w:p>
    <w:p w:rsidR="00B553F4" w:rsidRPr="00AA255B" w:rsidRDefault="00B553F4" w:rsidP="00B553F4">
      <w:pPr>
        <w:spacing w:line="360" w:lineRule="auto"/>
        <w:jc w:val="both"/>
      </w:pPr>
      <w:r w:rsidRPr="00AA255B">
        <w:t xml:space="preserve">Relativement au premier point, le panéliste a rappelé  la typologie retenue par le code de procédure pénale, d’une part les nullités textuelles, d’autre part les nullités substantielles. </w:t>
      </w:r>
    </w:p>
    <w:p w:rsidR="00B553F4" w:rsidRPr="00AA255B" w:rsidRDefault="00B553F4" w:rsidP="00B553F4">
      <w:pPr>
        <w:spacing w:line="360" w:lineRule="auto"/>
        <w:jc w:val="both"/>
      </w:pPr>
      <w:r w:rsidRPr="00AA255B">
        <w:t xml:space="preserve">Il a indiqué que la nullité textuelle est celle prévue par un texte. </w:t>
      </w:r>
    </w:p>
    <w:p w:rsidR="00B553F4" w:rsidRPr="00AA255B" w:rsidRDefault="00B553F4" w:rsidP="00B553F4">
      <w:pPr>
        <w:spacing w:line="360" w:lineRule="auto"/>
        <w:jc w:val="both"/>
      </w:pPr>
      <w:r w:rsidRPr="00AA255B">
        <w:t>Il a rappelé qu’au cours de la procédure d’enquête, les mesures de garde à vue et les opérations de saisies et perquisitions font l’objet d’une réglementation très stricte dont la violation entraine la nullité de la procédure.</w:t>
      </w:r>
    </w:p>
    <w:p w:rsidR="00B553F4" w:rsidRPr="00AA255B" w:rsidRDefault="00B553F4" w:rsidP="00B553F4">
      <w:pPr>
        <w:spacing w:line="360" w:lineRule="auto"/>
        <w:jc w:val="both"/>
      </w:pPr>
      <w:r w:rsidRPr="00AA255B">
        <w:t xml:space="preserve">En ce qui concerne les nullités relevées dans les différents actes d’instruction, l’exposant a relevé les nullités textuelles des 101 et suivants du code de procédure pénale. Il a placé le curseur sur les points relatifs à la commission d’office d’un conseil et au respect du délai de 24 heures avant toute inculpation, une fois le conseil avisé de sa commission. </w:t>
      </w:r>
    </w:p>
    <w:p w:rsidR="00B553F4" w:rsidRPr="00AA255B" w:rsidRDefault="00B553F4" w:rsidP="00B553F4">
      <w:pPr>
        <w:spacing w:line="360" w:lineRule="auto"/>
        <w:jc w:val="both"/>
      </w:pPr>
      <w:r w:rsidRPr="00AA255B">
        <w:t>Il a en outre cité les cas de nullités visés par l’article 164 du code de procédure pénale qui renvoie aux articles 101 à 104 du même texte.</w:t>
      </w:r>
    </w:p>
    <w:p w:rsidR="00B553F4" w:rsidRPr="00AA255B" w:rsidRDefault="00B553F4" w:rsidP="00B553F4">
      <w:pPr>
        <w:spacing w:line="360" w:lineRule="auto"/>
        <w:jc w:val="both"/>
      </w:pPr>
      <w:r w:rsidRPr="00AA255B">
        <w:lastRenderedPageBreak/>
        <w:t xml:space="preserve">Pour étayer son propos, le Président DIARRA a indiqué quelques jurisprudences de la chambre criminelle du tribunal de grande instance de Ziguinchor qui recensent différentes situations dans lesquelles, des procédures criminelles ont été annulées par ladite juridiction. </w:t>
      </w:r>
    </w:p>
    <w:p w:rsidR="00B553F4" w:rsidRPr="00AA255B" w:rsidRDefault="00B553F4" w:rsidP="00B553F4">
      <w:pPr>
        <w:spacing w:line="360" w:lineRule="auto"/>
        <w:jc w:val="both"/>
      </w:pPr>
      <w:r w:rsidRPr="00AA255B">
        <w:t xml:space="preserve">Sur les nullités substantielles, l’exposant a soutenu qu’il s’agit de nullités qui ne sont pas prévues par les textes. Il a noté que ce sont des cas de nullité qui tiennent très souvent au respect des droits de la défense. </w:t>
      </w:r>
    </w:p>
    <w:p w:rsidR="00B553F4" w:rsidRPr="00AA255B" w:rsidRDefault="00B553F4" w:rsidP="00B553F4">
      <w:pPr>
        <w:spacing w:line="360" w:lineRule="auto"/>
        <w:jc w:val="both"/>
      </w:pPr>
      <w:r w:rsidRPr="00AA255B">
        <w:t>A ce titre, il a noté certaines pratiques dites des inculpations tardives qui ne sont pas conformes au respect des droits des personnes entendues en qualité de témoins avant d’être inculpées plus tard en cours de procédure ;</w:t>
      </w:r>
    </w:p>
    <w:p w:rsidR="00B553F4" w:rsidRPr="00AA255B" w:rsidRDefault="00B553F4" w:rsidP="00B553F4">
      <w:pPr>
        <w:spacing w:line="360" w:lineRule="auto"/>
        <w:jc w:val="both"/>
      </w:pPr>
      <w:r w:rsidRPr="00AA255B">
        <w:t>Abordant le point relatif aux nullités affectant les actes d’enquête, il a fait le départ entre l’enquête de flagrant et celle dite préliminaire.</w:t>
      </w:r>
    </w:p>
    <w:p w:rsidR="00B553F4" w:rsidRPr="00AA255B" w:rsidRDefault="00B553F4" w:rsidP="00B553F4">
      <w:pPr>
        <w:spacing w:line="360" w:lineRule="auto"/>
        <w:jc w:val="both"/>
      </w:pPr>
      <w:r w:rsidRPr="00AA255B">
        <w:t>En matière d’enquête flagrante, selon ses propos, les nullités touchent principalement à la violation des règles relatives aux mesures de la garde à vue, à l’information du gardé à vue de son droit de constituer conseil.</w:t>
      </w:r>
    </w:p>
    <w:p w:rsidR="00B553F4" w:rsidRPr="00AA255B" w:rsidRDefault="00B553F4" w:rsidP="00B553F4">
      <w:pPr>
        <w:spacing w:line="360" w:lineRule="auto"/>
        <w:jc w:val="both"/>
      </w:pPr>
      <w:r w:rsidRPr="00AA255B">
        <w:t>Pour les actes de perquisition et de saisie, le panéliste a souligné l’exigence légale, sous peine de nullité, de recueillir l’assentiment express du mis en cause avant l’exécution de ladite opération.</w:t>
      </w:r>
    </w:p>
    <w:p w:rsidR="00B553F4" w:rsidRPr="00AA255B" w:rsidRDefault="00B553F4" w:rsidP="00B553F4">
      <w:pPr>
        <w:spacing w:line="360" w:lineRule="auto"/>
        <w:jc w:val="both"/>
      </w:pPr>
      <w:r w:rsidRPr="00AA255B">
        <w:t xml:space="preserve"> A titre illustratif, il a évoqué quelques jurisprudences de la chambre criminelle de Ziguinchor qui ont sanctionné la nullité de certaines procédures pour défaut d’assentiment du mis en cause lors d’une opération de perquisition et pour défaut de </w:t>
      </w:r>
      <w:r w:rsidR="009227AC" w:rsidRPr="00AA255B">
        <w:t>procès-verbal</w:t>
      </w:r>
      <w:r w:rsidRPr="00AA255B">
        <w:t xml:space="preserve"> de perquisition.</w:t>
      </w:r>
    </w:p>
    <w:p w:rsidR="00B553F4" w:rsidRPr="00AA255B" w:rsidRDefault="00B553F4" w:rsidP="00B553F4">
      <w:pPr>
        <w:spacing w:line="360" w:lineRule="auto"/>
        <w:jc w:val="both"/>
      </w:pPr>
      <w:r w:rsidRPr="00AA255B">
        <w:t>En guise de conclusion, il a relevé que dans certains cas, il y’a juste lieu de limiter la nullité à l’acte entaché et ainsi sauver les autres actes de la procédure. Il a ainsi estimé que cela passe inéluctable par une collaboration entre le parquet et le juge d’instruction et au renforcement continu des capacités de ce dernier.</w:t>
      </w:r>
    </w:p>
    <w:p w:rsidR="00B553F4" w:rsidRPr="00AA255B" w:rsidRDefault="00B553F4" w:rsidP="00B553F4">
      <w:pPr>
        <w:spacing w:line="360" w:lineRule="auto"/>
        <w:jc w:val="both"/>
      </w:pPr>
      <w:r w:rsidRPr="00AA255B">
        <w:t xml:space="preserve">A la suite de son exposé, le substitut général, </w:t>
      </w:r>
      <w:r w:rsidR="009227AC" w:rsidRPr="00AA255B">
        <w:t>près</w:t>
      </w:r>
      <w:r w:rsidRPr="00AA255B">
        <w:t xml:space="preserve"> la Cour d’Appel, Cheikh DIAKHOUMPA a introduit le second thème relatif à l’évaluation de l’impact des réformes sur les procédures criminelles.</w:t>
      </w:r>
    </w:p>
    <w:p w:rsidR="00B553F4" w:rsidRPr="00AA255B" w:rsidRDefault="00B553F4" w:rsidP="00B553F4">
      <w:pPr>
        <w:spacing w:line="360" w:lineRule="auto"/>
        <w:jc w:val="both"/>
      </w:pPr>
      <w:r w:rsidRPr="00AA255B">
        <w:t xml:space="preserve">En guise d’introduction, il s’est d’abord interrogé sur les raisons pour lesquelles le législateur prévoit lui-même la nullité des procédures. </w:t>
      </w:r>
    </w:p>
    <w:p w:rsidR="00B553F4" w:rsidRPr="00AA255B" w:rsidRDefault="00B553F4" w:rsidP="00B553F4">
      <w:pPr>
        <w:spacing w:line="360" w:lineRule="auto"/>
        <w:jc w:val="both"/>
      </w:pPr>
      <w:r w:rsidRPr="00AA255B">
        <w:t xml:space="preserve">Il a d’abord estimé que cela tient au fait que dans le droit romain, les juristes tenaient beaucoup au respect des formes. Il a aussi relevé que l’évolution a conduit à ce que l’on a </w:t>
      </w:r>
      <w:r w:rsidRPr="00AA255B">
        <w:lastRenderedPageBreak/>
        <w:t>appelé le système de la neutralité, ce qui est pour certains, contraire aux intérêts des plaideurs.</w:t>
      </w:r>
    </w:p>
    <w:p w:rsidR="00B553F4" w:rsidRPr="00AA255B" w:rsidRDefault="00B553F4" w:rsidP="00B553F4">
      <w:pPr>
        <w:spacing w:line="360" w:lineRule="auto"/>
        <w:jc w:val="both"/>
      </w:pPr>
      <w:r w:rsidRPr="00AA255B">
        <w:t>Ensuite, il a relevé que dans le droit positif sénégalais, l’étude des nullités renvoie à une classification entre nullités textuelles et nullités substantielles qui seront les sillons de son exposé.</w:t>
      </w:r>
    </w:p>
    <w:p w:rsidR="00B553F4" w:rsidRPr="00AA255B" w:rsidRDefault="00B553F4" w:rsidP="00B553F4">
      <w:pPr>
        <w:spacing w:line="360" w:lineRule="auto"/>
        <w:jc w:val="both"/>
      </w:pPr>
      <w:r w:rsidRPr="00AA255B">
        <w:t>Abordant le premier chapitre, il a précisé que les nullités textuelles comme leur nom l’indique, sont prévues par un texte. Ce sont des cas préétablis qui visent à sanctionner la violation des formalités essentielles. Faisant une comparaison avec le droit français qui exige la justification d’un grief à tous les cas de nullité, il a précisé que le droit sénégalais n’exige aucun grief.</w:t>
      </w:r>
    </w:p>
    <w:p w:rsidR="00B553F4" w:rsidRPr="00AA255B" w:rsidRDefault="00B553F4" w:rsidP="00B553F4">
      <w:pPr>
        <w:spacing w:line="360" w:lineRule="auto"/>
        <w:jc w:val="both"/>
      </w:pPr>
      <w:r w:rsidRPr="00AA255B">
        <w:t xml:space="preserve">Il a ainsi relevé que le droit positif interne, conformément aux normes communautaires, aménage les droits de la défense en instituant la présence de l’avocat </w:t>
      </w:r>
      <w:r w:rsidR="009227AC" w:rsidRPr="00AA255B">
        <w:t>dès</w:t>
      </w:r>
      <w:r w:rsidRPr="00AA255B">
        <w:t xml:space="preserve"> la phase de la garde à vue, sous peine de nullité. </w:t>
      </w:r>
    </w:p>
    <w:p w:rsidR="00B553F4" w:rsidRPr="00AA255B" w:rsidRDefault="00B553F4" w:rsidP="00B553F4">
      <w:pPr>
        <w:spacing w:line="360" w:lineRule="auto"/>
        <w:jc w:val="both"/>
      </w:pPr>
      <w:r w:rsidRPr="00AA255B">
        <w:t>A ce niveau, il a souligné que lorsqu’une controverse doctrinale s’est installée quant à l’étendue de cette obligation, la question est tranchée par le biais d’une circulaire qui a précisé que la présence de l’avocat s’impose autant pour les procédures de flagrance que pour les procédures préliminaires.</w:t>
      </w:r>
    </w:p>
    <w:p w:rsidR="00B553F4" w:rsidRPr="00AA255B" w:rsidRDefault="00B553F4" w:rsidP="00B553F4">
      <w:pPr>
        <w:spacing w:line="360" w:lineRule="auto"/>
        <w:jc w:val="both"/>
      </w:pPr>
      <w:r w:rsidRPr="00AA255B">
        <w:t xml:space="preserve">Il a insisté sur la distinction à opérer entre nullité de l’acte entaché et celle de la procédure, en évoquant une jurisprudence française, l’affaire </w:t>
      </w:r>
      <w:proofErr w:type="spellStart"/>
      <w:r w:rsidRPr="00AA255B">
        <w:t>Maêlys</w:t>
      </w:r>
      <w:proofErr w:type="spellEnd"/>
      <w:r w:rsidRPr="00AA255B">
        <w:t>.</w:t>
      </w:r>
    </w:p>
    <w:p w:rsidR="00B553F4" w:rsidRPr="00AA255B" w:rsidRDefault="00B553F4" w:rsidP="00B553F4">
      <w:pPr>
        <w:spacing w:line="360" w:lineRule="auto"/>
        <w:jc w:val="both"/>
      </w:pPr>
      <w:r w:rsidRPr="00AA255B">
        <w:t>Pendant la phase de l’instruction, l’exposant a rappelé l’obligation qui pèse sur le juge de commettre d’office un conseil pour le mise en cause et celle d’observer un délai de 24 heures avant toute inculpation. Il a relevé deux décisions rendues dans ce sens par la chambre criminelle du TGI de Thiès.</w:t>
      </w:r>
    </w:p>
    <w:p w:rsidR="00B553F4" w:rsidRPr="00AA255B" w:rsidRDefault="00B553F4" w:rsidP="00B553F4">
      <w:pPr>
        <w:spacing w:line="360" w:lineRule="auto"/>
        <w:jc w:val="both"/>
      </w:pPr>
      <w:r w:rsidRPr="00AA255B">
        <w:t>Quant aux nullités substantielles, il a soutenu que les juges développent des réticences à annuler les procédures. L’exposant a, à ce titre, fait cas de la juri</w:t>
      </w:r>
      <w:r w:rsidR="009227AC">
        <w:t xml:space="preserve">sprudence dite des « jeunes de </w:t>
      </w:r>
      <w:proofErr w:type="spellStart"/>
      <w:r w:rsidR="009227AC">
        <w:t>C</w:t>
      </w:r>
      <w:r w:rsidRPr="00AA255B">
        <w:t>olobane</w:t>
      </w:r>
      <w:proofErr w:type="spellEnd"/>
      <w:r w:rsidRPr="00AA255B">
        <w:t xml:space="preserve"> » et rappelé que suite à une décision de la chambre d’accusation ayant rejeté l’exception de nullité du procès-verbal, la juridiction de jugement, saisi de la même question, a rejeté ce moyen de nullité au motif que la demande a été déjà tranchée par une juridiction. </w:t>
      </w:r>
    </w:p>
    <w:p w:rsidR="00B553F4" w:rsidRPr="00AA255B" w:rsidRDefault="00B553F4" w:rsidP="00B553F4">
      <w:pPr>
        <w:spacing w:line="360" w:lineRule="auto"/>
        <w:jc w:val="both"/>
      </w:pPr>
      <w:r w:rsidRPr="00AA255B">
        <w:t>De son point de vue, il a estimé que le tribunal devait déclarer une telle demande irrecevable.</w:t>
      </w:r>
    </w:p>
    <w:p w:rsidR="00B553F4" w:rsidRPr="00AA255B" w:rsidRDefault="00B553F4" w:rsidP="00B553F4">
      <w:pPr>
        <w:spacing w:line="360" w:lineRule="auto"/>
        <w:jc w:val="both"/>
      </w:pPr>
      <w:r w:rsidRPr="00AA255B">
        <w:lastRenderedPageBreak/>
        <w:t>Sur le point relatif aux nullités substantielles lors de la phase de l’instruction, le panéliste a précisé que contrairement au droit civil qui définit ce qu’il entend par nullité substantielle, le droit pénal s’est cantonner à distinguer nullité d’ordre public et nullité d’ordre privé.</w:t>
      </w:r>
    </w:p>
    <w:p w:rsidR="00B553F4" w:rsidRPr="00AA255B" w:rsidRDefault="00B553F4" w:rsidP="00B553F4">
      <w:pPr>
        <w:spacing w:line="360" w:lineRule="auto"/>
        <w:jc w:val="both"/>
      </w:pPr>
      <w:r w:rsidRPr="00AA255B">
        <w:t>Abordant le chapitre qu’il a réservé à la mise en œuvre des nullités, DIAKHOUMPA a accès son intervention d’une part sur la nécessité de sauvegarder les procédures criminelles en recourant aux  techniques de la réparation et de la renonciation, d’autre part à la réfection de l’acte entaché de nullité lors des délégations judiciaire ou encore envisager la technique de la neutralité.</w:t>
      </w:r>
    </w:p>
    <w:p w:rsidR="00B553F4" w:rsidRPr="00AA255B" w:rsidRDefault="00B553F4" w:rsidP="00B553F4">
      <w:pPr>
        <w:spacing w:line="360" w:lineRule="auto"/>
        <w:jc w:val="both"/>
      </w:pPr>
      <w:r w:rsidRPr="00AA255B">
        <w:t>A la suite de ces exposés, les débats ont été ouverts et ont porté sur différents points.</w:t>
      </w:r>
    </w:p>
    <w:p w:rsidR="00B553F4" w:rsidRPr="00AA255B" w:rsidRDefault="00B553F4" w:rsidP="00B553F4">
      <w:pPr>
        <w:spacing w:line="360" w:lineRule="auto"/>
        <w:jc w:val="both"/>
      </w:pPr>
      <w:r w:rsidRPr="00AA255B">
        <w:t xml:space="preserve">Il a été ainsi soulevé la question de savoir si une exception de nullité déjà soumise à la chambre d’accusation pouvait être plaidée à nouveau devant la juridiction de jugement ? </w:t>
      </w:r>
    </w:p>
    <w:p w:rsidR="00B553F4" w:rsidRPr="00AA255B" w:rsidRDefault="00B553F4" w:rsidP="00B553F4">
      <w:pPr>
        <w:spacing w:line="360" w:lineRule="auto"/>
        <w:jc w:val="both"/>
      </w:pPr>
      <w:r w:rsidRPr="00AA255B">
        <w:t>Des positions différentes ont été exprimées. Pour certains, si l’on se réfère à l’article 261 du code de procédure pénale, la chambre criminelle doit se prononcer sur l’exception, indépendamment de la solution dégagée par la chambre d’accusation dont la décision n’a qu’une autorité relative et ne s’impose pas au tribunal.</w:t>
      </w:r>
    </w:p>
    <w:p w:rsidR="00B553F4" w:rsidRPr="00AA255B" w:rsidRDefault="00B553F4" w:rsidP="00B553F4">
      <w:pPr>
        <w:spacing w:line="360" w:lineRule="auto"/>
        <w:jc w:val="both"/>
      </w:pPr>
      <w:r w:rsidRPr="00AA255B">
        <w:t>Un autre point de vue soutient que la chambre d’accusation est une juridiction de second degré en matière d’instruction criminelle. Les décisions qu’elle rend ont une autorité, en conséquence, elles s’imposent à la juridiction de jugement qui ne peut se prononcer à nouveau sur la même question.</w:t>
      </w:r>
    </w:p>
    <w:p w:rsidR="00B553F4" w:rsidRPr="00AA255B" w:rsidRDefault="00B553F4" w:rsidP="00B553F4">
      <w:pPr>
        <w:spacing w:line="360" w:lineRule="auto"/>
        <w:jc w:val="both"/>
      </w:pPr>
      <w:r w:rsidRPr="00AA255B">
        <w:t xml:space="preserve">Une position médiane a été dégagée, consistant à soutenir que l’inculpé a un choix lors qu’il constate une entorse de la règle de procédure. </w:t>
      </w:r>
    </w:p>
    <w:p w:rsidR="00B553F4" w:rsidRPr="00AA255B" w:rsidRDefault="00B553F4" w:rsidP="00B553F4">
      <w:pPr>
        <w:spacing w:line="360" w:lineRule="auto"/>
        <w:jc w:val="both"/>
      </w:pPr>
      <w:r w:rsidRPr="00AA255B">
        <w:t xml:space="preserve">D’une part, il peut saisir la chambre d’accusation auquel cas, sa décision revêtue d’une autorité, fait obstacle à ce que la même question soit soumise à la juridiction de jugement. Cette solution est aussi retenue lorsque la chambre d’accusation, après l’examen d’une question de procédure, estime devoir renvoyer le dossier, conformément à l’article 557 du code de procédure pénale. </w:t>
      </w:r>
    </w:p>
    <w:p w:rsidR="00B553F4" w:rsidRPr="00AA255B" w:rsidRDefault="00B553F4" w:rsidP="00B553F4">
      <w:pPr>
        <w:spacing w:line="360" w:lineRule="auto"/>
        <w:jc w:val="both"/>
      </w:pPr>
      <w:r w:rsidRPr="00AA255B">
        <w:t>Relativement à ce dernier point, certains ont souligné la résurgence du caractère purgatoire de l’arrêt de renvoi, ce qui est cependant contraire à l’esprit de la réforme.</w:t>
      </w:r>
    </w:p>
    <w:p w:rsidR="00B553F4" w:rsidRPr="00AA255B" w:rsidRDefault="00B553F4" w:rsidP="00B553F4">
      <w:pPr>
        <w:spacing w:line="360" w:lineRule="auto"/>
        <w:jc w:val="both"/>
      </w:pPr>
      <w:r w:rsidRPr="00AA255B">
        <w:t>D’autre part, l’inculpé saisit la juridiction de jugement de la question de la nullité et celle-ci  demeure compétente pour y répondre.</w:t>
      </w:r>
    </w:p>
    <w:p w:rsidR="00B553F4" w:rsidRPr="00AA255B" w:rsidRDefault="00B553F4" w:rsidP="00B553F4">
      <w:pPr>
        <w:spacing w:line="360" w:lineRule="auto"/>
        <w:jc w:val="both"/>
      </w:pPr>
      <w:r w:rsidRPr="00AA255B">
        <w:t xml:space="preserve">A ce niveau, il a été recommandé une application harmonisée des textes afin d’aboutir à des jurisprudences conformes, source de sécurité juridique. </w:t>
      </w:r>
    </w:p>
    <w:p w:rsidR="00B553F4" w:rsidRPr="00AA255B" w:rsidRDefault="00B553F4" w:rsidP="00B553F4">
      <w:pPr>
        <w:spacing w:line="360" w:lineRule="auto"/>
        <w:jc w:val="both"/>
      </w:pPr>
      <w:r w:rsidRPr="00AA255B">
        <w:lastRenderedPageBreak/>
        <w:t>Sur le point relatif à l’avis et à la preuve dudit avis donné au conseil lors de l’interrogatoire de première comparution, il a été retenu que l’avis doit être toujours un acte écrit, versé dans le dossier. Il a ainsi été suggérer des rencontres entre les avocats du ressort et les juges d’instruction afin de déterminer les modes de saisine de l’avocat outre le dépôt du répertoire de l’ensemble des membres du barreau au niveau des cabinets. Mais la recommandation phare porte sur l’adoption d’une circulaire fixant les modalités d’application de l’article 101 du code de procédure pénale quant au mode de cet avis.</w:t>
      </w:r>
    </w:p>
    <w:p w:rsidR="00B553F4" w:rsidRPr="00AA255B" w:rsidRDefault="00B553F4" w:rsidP="00B553F4">
      <w:pPr>
        <w:spacing w:line="360" w:lineRule="auto"/>
        <w:jc w:val="both"/>
      </w:pPr>
      <w:r w:rsidRPr="00AA255B">
        <w:t>Il a été relevé que le délai de 24 heures est très court, ce qui conduit certains juges d’instruction à ne pas respecter la volonté des personnes suspectées, celle d’aviser l’avocat qu’elles ont choisi, mais d’en commettre d’office pour elles, ce qui constitue une violation de leurs droits.</w:t>
      </w:r>
    </w:p>
    <w:p w:rsidR="00B553F4" w:rsidRDefault="00B553F4" w:rsidP="00B553F4">
      <w:pPr>
        <w:spacing w:line="360" w:lineRule="auto"/>
        <w:jc w:val="both"/>
      </w:pPr>
    </w:p>
    <w:p w:rsidR="00B553F4" w:rsidRPr="00AA255B" w:rsidRDefault="00B553F4" w:rsidP="00B553F4">
      <w:pPr>
        <w:spacing w:line="360" w:lineRule="auto"/>
        <w:jc w:val="both"/>
      </w:pPr>
      <w:r w:rsidRPr="00AA255B">
        <w:t>Certains collègues ont aussi invité les juges d’instruction à recourir aux dispositions de l’article 102 du code de procédure pénale, après avoir caractérisé un cas d’urgence.</w:t>
      </w:r>
    </w:p>
    <w:p w:rsidR="00B553F4" w:rsidRPr="00AA255B" w:rsidRDefault="00B553F4" w:rsidP="00B553F4">
      <w:pPr>
        <w:spacing w:line="360" w:lineRule="auto"/>
        <w:jc w:val="both"/>
      </w:pPr>
      <w:r w:rsidRPr="00AA255B">
        <w:t xml:space="preserve">Relativement au sort de l’inculpé après l’annulation de la procédure, il a été relevé que rien ne s’oppose à ce que les poursuites soient reprises si les faits ne sont pas éteints par la prescription. Et  le temps passé en détention a été considéré par certains comme un temps qui s’impute sur la durée de la condamnation ultérieure, en faisant bénéficier à l’accusé les dispositions de l’article 22 du code pénal. </w:t>
      </w:r>
    </w:p>
    <w:p w:rsidR="00B553F4" w:rsidRDefault="00B553F4" w:rsidP="00B553F4">
      <w:pPr>
        <w:spacing w:line="360" w:lineRule="auto"/>
        <w:jc w:val="both"/>
      </w:pPr>
    </w:p>
    <w:p w:rsidR="00B553F4" w:rsidRPr="00AA255B" w:rsidRDefault="00B553F4" w:rsidP="00B553F4">
      <w:pPr>
        <w:spacing w:line="360" w:lineRule="auto"/>
        <w:jc w:val="both"/>
      </w:pPr>
      <w:r w:rsidRPr="00AA255B">
        <w:t>Mais à ce niveau des objections ont été relevées par certains quant au titre de détention qui sera retenu pour la computation du délai de la peine car la première procédure ayant abouti à une nullité, aucun acte ne peut en être utilisé et versé dans la nouvelle procédure.</w:t>
      </w:r>
    </w:p>
    <w:p w:rsidR="00B553F4" w:rsidRDefault="00B553F4" w:rsidP="00B553F4">
      <w:pPr>
        <w:spacing w:line="360" w:lineRule="auto"/>
        <w:jc w:val="both"/>
      </w:pPr>
      <w:r w:rsidRPr="00AA255B">
        <w:t xml:space="preserve">A la fin des travaux, le Procureur Général et le Directeur du centre de formation judiciaire ont, tour à tour, salué la tenue de cette journée sur un thème aussi crucial que d’actualité qui participe à la formation continue des </w:t>
      </w:r>
      <w:r w:rsidR="009227AC" w:rsidRPr="00AA255B">
        <w:t>magistrats</w:t>
      </w:r>
      <w:r>
        <w:t>.</w:t>
      </w:r>
    </w:p>
    <w:p w:rsidR="00B553F4" w:rsidRPr="00AA255B" w:rsidRDefault="00B553F4" w:rsidP="00B553F4">
      <w:pPr>
        <w:spacing w:line="360" w:lineRule="auto"/>
        <w:jc w:val="both"/>
      </w:pPr>
    </w:p>
    <w:p w:rsidR="00B553F4" w:rsidRPr="00AA255B" w:rsidRDefault="00B553F4" w:rsidP="00B553F4">
      <w:pPr>
        <w:jc w:val="center"/>
        <w:rPr>
          <w:i/>
        </w:rPr>
      </w:pPr>
      <w:r w:rsidRPr="00AA255B">
        <w:rPr>
          <w:i/>
        </w:rPr>
        <w:t>Le Rapporteur,</w:t>
      </w:r>
      <w:r>
        <w:rPr>
          <w:i/>
        </w:rPr>
        <w:t xml:space="preserve"> </w:t>
      </w:r>
      <w:r w:rsidRPr="00AA255B">
        <w:rPr>
          <w:i/>
        </w:rPr>
        <w:t>Bassirou GAYE</w:t>
      </w:r>
    </w:p>
    <w:p w:rsidR="00B553F4" w:rsidRPr="00AA255B" w:rsidRDefault="00B553F4" w:rsidP="00B553F4">
      <w:pPr>
        <w:jc w:val="center"/>
        <w:rPr>
          <w:i/>
        </w:rPr>
      </w:pPr>
      <w:r w:rsidRPr="00AA255B">
        <w:rPr>
          <w:i/>
        </w:rPr>
        <w:t>Juge au Tribunal de Grande Instance</w:t>
      </w:r>
      <w:r>
        <w:rPr>
          <w:i/>
        </w:rPr>
        <w:t xml:space="preserve"> </w:t>
      </w:r>
      <w:r w:rsidRPr="00AA255B">
        <w:rPr>
          <w:i/>
        </w:rPr>
        <w:t>de Ziguinchor.</w:t>
      </w:r>
    </w:p>
    <w:p w:rsidR="00B553F4" w:rsidRDefault="00B553F4">
      <w:pPr>
        <w:spacing w:after="160" w:line="259" w:lineRule="auto"/>
      </w:pPr>
    </w:p>
    <w:p w:rsidR="00B553F4" w:rsidRDefault="00B553F4" w:rsidP="00B553F4">
      <w:pPr>
        <w:spacing w:after="160" w:line="259" w:lineRule="auto"/>
        <w:jc w:val="center"/>
      </w:pPr>
    </w:p>
    <w:p w:rsidR="00B553F4" w:rsidRDefault="00B553F4" w:rsidP="00B553F4">
      <w:pPr>
        <w:spacing w:after="160" w:line="259" w:lineRule="auto"/>
        <w:jc w:val="center"/>
      </w:pPr>
    </w:p>
    <w:p w:rsidR="00B516EC" w:rsidRPr="00B92883" w:rsidRDefault="00B516EC" w:rsidP="00B516EC">
      <w:pPr>
        <w:spacing w:line="360" w:lineRule="auto"/>
        <w:rPr>
          <w:rFonts w:ascii="Lucida Fax" w:hAnsi="Lucida Fax" w:cs="CordiaUPC"/>
          <w:b/>
        </w:rPr>
      </w:pPr>
      <w:r w:rsidRPr="00B92883">
        <w:rPr>
          <w:rFonts w:ascii="Lucida Fax" w:hAnsi="Lucida Fax" w:cs="CordiaUPC"/>
          <w:b/>
        </w:rPr>
        <w:lastRenderedPageBreak/>
        <w:t>CENTRE DE FORMATION JUDICIAIRE</w:t>
      </w:r>
      <w:r w:rsidRPr="00B92883">
        <w:rPr>
          <w:rFonts w:ascii="Lucida Fax" w:hAnsi="Lucida Fax" w:cs="CordiaUPC"/>
          <w:b/>
        </w:rPr>
        <w:tab/>
      </w:r>
      <w:r>
        <w:rPr>
          <w:rFonts w:ascii="Lucida Fax" w:hAnsi="Lucida Fax" w:cs="CordiaUPC"/>
          <w:b/>
        </w:rPr>
        <w:t xml:space="preserve">ET </w:t>
      </w:r>
      <w:r w:rsidRPr="00B92883">
        <w:rPr>
          <w:rFonts w:ascii="Lucida Fax" w:hAnsi="Lucida Fax" w:cs="CordiaUPC"/>
          <w:b/>
        </w:rPr>
        <w:t xml:space="preserve">COUR D’APPEL DE </w:t>
      </w:r>
      <w:r>
        <w:rPr>
          <w:rFonts w:ascii="Lucida Fax" w:hAnsi="Lucida Fax" w:cs="CordiaUPC"/>
          <w:b/>
        </w:rPr>
        <w:t>KAOLACK</w:t>
      </w:r>
    </w:p>
    <w:p w:rsidR="00811E1A" w:rsidRDefault="00811E1A" w:rsidP="00811E1A">
      <w:pPr>
        <w:jc w:val="center"/>
      </w:pPr>
    </w:p>
    <w:p w:rsidR="00811E1A" w:rsidRDefault="00811E1A" w:rsidP="00811E1A">
      <w:pPr>
        <w:jc w:val="center"/>
      </w:pPr>
    </w:p>
    <w:p w:rsidR="00811E1A" w:rsidRDefault="00811E1A" w:rsidP="00811E1A">
      <w:pPr>
        <w:jc w:val="center"/>
      </w:pPr>
    </w:p>
    <w:p w:rsidR="00811E1A" w:rsidRDefault="00811E1A" w:rsidP="00811E1A">
      <w:pPr>
        <w:jc w:val="center"/>
      </w:pPr>
    </w:p>
    <w:p w:rsidR="00811E1A" w:rsidRDefault="00811E1A" w:rsidP="00811E1A">
      <w:pPr>
        <w:jc w:val="center"/>
      </w:pPr>
    </w:p>
    <w:p w:rsidR="00811E1A" w:rsidRPr="006A105E" w:rsidRDefault="00811E1A" w:rsidP="00811E1A">
      <w:pPr>
        <w:ind w:left="2832"/>
        <w:rPr>
          <w:rFonts w:ascii="Agency FB" w:hAnsi="Agency FB"/>
          <w:b/>
        </w:rPr>
      </w:pPr>
      <w:r>
        <w:rPr>
          <w:rFonts w:ascii="Agency FB" w:hAnsi="Agency FB"/>
          <w:b/>
        </w:rPr>
        <w:t xml:space="preserve">                          </w:t>
      </w:r>
    </w:p>
    <w:p w:rsidR="00B553F4" w:rsidRDefault="00B553F4" w:rsidP="00B553F4">
      <w:pPr>
        <w:spacing w:after="160" w:line="259" w:lineRule="auto"/>
        <w:jc w:val="center"/>
      </w:pPr>
    </w:p>
    <w:p w:rsidR="00B553F4" w:rsidRDefault="00B553F4" w:rsidP="00B553F4">
      <w:pPr>
        <w:spacing w:after="160" w:line="259" w:lineRule="auto"/>
        <w:jc w:val="center"/>
      </w:pPr>
      <w:bookmarkStart w:id="0" w:name="_GoBack"/>
      <w:bookmarkEnd w:id="0"/>
    </w:p>
    <w:p w:rsidR="00B553F4" w:rsidRDefault="00B553F4" w:rsidP="00B553F4">
      <w:pPr>
        <w:spacing w:after="160" w:line="259" w:lineRule="auto"/>
        <w:jc w:val="center"/>
      </w:pPr>
    </w:p>
    <w:p w:rsidR="00B553F4" w:rsidRDefault="00B553F4" w:rsidP="00B553F4">
      <w:pPr>
        <w:spacing w:after="160" w:line="259" w:lineRule="auto"/>
        <w:jc w:val="center"/>
      </w:pPr>
    </w:p>
    <w:p w:rsidR="00B553F4" w:rsidRDefault="00B553F4" w:rsidP="00B553F4">
      <w:pPr>
        <w:spacing w:after="160" w:line="259" w:lineRule="auto"/>
        <w:jc w:val="center"/>
      </w:pPr>
    </w:p>
    <w:p w:rsidR="00B553F4" w:rsidRPr="00C56B28" w:rsidRDefault="00B553F4" w:rsidP="00B553F4">
      <w:pPr>
        <w:spacing w:line="360" w:lineRule="auto"/>
        <w:jc w:val="center"/>
        <w:rPr>
          <w:b/>
        </w:rPr>
      </w:pPr>
      <w:r w:rsidRPr="00C56B28">
        <w:rPr>
          <w:b/>
        </w:rPr>
        <w:t>RAPPORT SEMINAIRE SUR LES CHAMBRES CRIMINELLES</w:t>
      </w:r>
    </w:p>
    <w:p w:rsidR="00B553F4" w:rsidRDefault="00B553F4" w:rsidP="00B553F4">
      <w:pPr>
        <w:spacing w:after="120"/>
        <w:jc w:val="center"/>
        <w:rPr>
          <w:rFonts w:ascii="Times New Roman" w:hAnsi="Times New Roman" w:cs="Times New Roman"/>
          <w:b/>
          <w:i/>
        </w:rPr>
      </w:pPr>
    </w:p>
    <w:p w:rsidR="00B553F4" w:rsidRPr="00FA1C28" w:rsidRDefault="00B553F4" w:rsidP="00B553F4">
      <w:pPr>
        <w:spacing w:after="120"/>
        <w:jc w:val="center"/>
        <w:rPr>
          <w:rFonts w:ascii="Times New Roman" w:hAnsi="Times New Roman" w:cs="Times New Roman"/>
          <w:b/>
        </w:rPr>
      </w:pPr>
      <w:r w:rsidRPr="00FA1C28">
        <w:rPr>
          <w:rFonts w:ascii="Times New Roman" w:hAnsi="Times New Roman" w:cs="Times New Roman"/>
          <w:b/>
        </w:rPr>
        <w:t>KAOLACK LE MARDI 13 FEVRIER 2018/ HOTEL LE RELAIS</w:t>
      </w:r>
    </w:p>
    <w:p w:rsidR="00B553F4" w:rsidRDefault="00B553F4" w:rsidP="00B553F4">
      <w:pPr>
        <w:spacing w:after="120"/>
        <w:jc w:val="center"/>
        <w:rPr>
          <w:rFonts w:ascii="Times New Roman" w:hAnsi="Times New Roman" w:cs="Times New Roman"/>
          <w:b/>
          <w:i/>
        </w:rPr>
      </w:pPr>
    </w:p>
    <w:p w:rsidR="00B553F4" w:rsidRDefault="00B553F4" w:rsidP="00B553F4">
      <w:pPr>
        <w:spacing w:after="160" w:line="259" w:lineRule="auto"/>
        <w:jc w:val="center"/>
        <w:rPr>
          <w:rFonts w:ascii="Times New Roman" w:hAnsi="Times New Roman" w:cs="Times New Roman"/>
          <w:b/>
        </w:rPr>
      </w:pPr>
    </w:p>
    <w:p w:rsidR="00B553F4" w:rsidRDefault="00B516EC" w:rsidP="00B553F4">
      <w:pPr>
        <w:spacing w:after="160" w:line="259" w:lineRule="auto"/>
        <w:jc w:val="center"/>
      </w:pPr>
      <w:r>
        <w:rPr>
          <w:noProof/>
        </w:rPr>
        <w:drawing>
          <wp:anchor distT="0" distB="0" distL="114300" distR="114300" simplePos="0" relativeHeight="251676672" behindDoc="0" locked="0" layoutInCell="1" allowOverlap="1" wp14:anchorId="3E9BCDD5" wp14:editId="7A3429FC">
            <wp:simplePos x="0" y="0"/>
            <wp:positionH relativeFrom="column">
              <wp:posOffset>1694180</wp:posOffset>
            </wp:positionH>
            <wp:positionV relativeFrom="paragraph">
              <wp:posOffset>4192270</wp:posOffset>
            </wp:positionV>
            <wp:extent cx="1990725" cy="717550"/>
            <wp:effectExtent l="0" t="0" r="9525" b="6350"/>
            <wp:wrapSquare wrapText="bothSides"/>
            <wp:docPr id="17"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7" cstate="print"/>
                    <a:srcRect l="24503" t="47961" r="28311" b="27754"/>
                    <a:stretch>
                      <a:fillRect/>
                    </a:stretch>
                  </pic:blipFill>
                  <pic:spPr bwMode="auto">
                    <a:xfrm>
                      <a:off x="0" y="0"/>
                      <a:ext cx="1990725" cy="717550"/>
                    </a:xfrm>
                    <a:prstGeom prst="rect">
                      <a:avLst/>
                    </a:prstGeom>
                    <a:noFill/>
                    <a:ln w="9525">
                      <a:noFill/>
                      <a:miter lim="800000"/>
                      <a:headEnd/>
                      <a:tailEnd/>
                    </a:ln>
                  </pic:spPr>
                </pic:pic>
              </a:graphicData>
            </a:graphic>
          </wp:anchor>
        </w:drawing>
      </w:r>
      <w:r w:rsidR="00B553F4">
        <w:br w:type="page"/>
      </w:r>
    </w:p>
    <w:p w:rsidR="00B553F4" w:rsidRDefault="00B553F4" w:rsidP="00B553F4">
      <w:pPr>
        <w:jc w:val="center"/>
        <w:rPr>
          <w:rFonts w:ascii="Monotype Corsiva" w:hAnsi="Monotype Corsiva"/>
          <w:b/>
          <w:bCs/>
          <w:i/>
          <w:iCs/>
          <w:szCs w:val="20"/>
        </w:rPr>
      </w:pPr>
      <w:r>
        <w:rPr>
          <w:rFonts w:ascii="Monotype Corsiva" w:hAnsi="Monotype Corsiva"/>
          <w:b/>
          <w:i/>
          <w:noProof/>
          <w:szCs w:val="20"/>
        </w:rPr>
        <w:lastRenderedPageBreak/>
        <w:drawing>
          <wp:inline distT="0" distB="0" distL="0" distR="0" wp14:anchorId="68BC3C34" wp14:editId="185E8783">
            <wp:extent cx="1203463" cy="514785"/>
            <wp:effectExtent l="19050" t="0" r="0" b="0"/>
            <wp:docPr id="22" name="Image 132" descr="Drapeau du Séné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2" descr="Drapeau du Sénégal"/>
                    <pic:cNvPicPr>
                      <a:picLocks noChangeAspect="1" noChangeArrowheads="1"/>
                    </pic:cNvPicPr>
                  </pic:nvPicPr>
                  <pic:blipFill>
                    <a:blip r:embed="rId8" cstate="print"/>
                    <a:srcRect/>
                    <a:stretch>
                      <a:fillRect/>
                    </a:stretch>
                  </pic:blipFill>
                  <pic:spPr bwMode="auto">
                    <a:xfrm>
                      <a:off x="0" y="0"/>
                      <a:ext cx="1202446" cy="514350"/>
                    </a:xfrm>
                    <a:prstGeom prst="rect">
                      <a:avLst/>
                    </a:prstGeom>
                    <a:noFill/>
                    <a:ln w="9525">
                      <a:noFill/>
                      <a:miter lim="800000"/>
                      <a:headEnd/>
                      <a:tailEnd/>
                    </a:ln>
                  </pic:spPr>
                </pic:pic>
              </a:graphicData>
            </a:graphic>
          </wp:inline>
        </w:drawing>
      </w:r>
    </w:p>
    <w:p w:rsidR="00B553F4" w:rsidRDefault="00B553F4" w:rsidP="00B553F4">
      <w:pPr>
        <w:jc w:val="center"/>
        <w:rPr>
          <w:rFonts w:ascii="Times New Roman" w:hAnsi="Times New Roman"/>
          <w:bCs/>
          <w:iCs/>
          <w:sz w:val="14"/>
          <w:szCs w:val="20"/>
        </w:rPr>
      </w:pPr>
      <w:r>
        <w:rPr>
          <w:bCs/>
          <w:iCs/>
          <w:sz w:val="14"/>
          <w:szCs w:val="20"/>
        </w:rPr>
        <w:t>REPUBLIQUE DU SENEGAL</w:t>
      </w:r>
    </w:p>
    <w:p w:rsidR="00B553F4" w:rsidRDefault="00B553F4" w:rsidP="00B553F4">
      <w:pPr>
        <w:jc w:val="center"/>
        <w:rPr>
          <w:rFonts w:ascii="Monotype Corsiva" w:hAnsi="Monotype Corsiva"/>
          <w:b/>
          <w:bCs/>
          <w:i/>
          <w:iCs/>
          <w:szCs w:val="20"/>
        </w:rPr>
      </w:pPr>
      <w:r>
        <w:rPr>
          <w:rFonts w:ascii="Monotype Corsiva" w:hAnsi="Monotype Corsiva"/>
          <w:b/>
          <w:bCs/>
          <w:i/>
          <w:iCs/>
          <w:szCs w:val="20"/>
        </w:rPr>
        <w:t>Un Peuple – Un But – Une Foi</w:t>
      </w:r>
    </w:p>
    <w:p w:rsidR="00B553F4" w:rsidRDefault="00B553F4" w:rsidP="00B553F4">
      <w:pPr>
        <w:jc w:val="center"/>
        <w:rPr>
          <w:rFonts w:ascii="Bookman Old Style" w:hAnsi="Bookman Old Style"/>
          <w:b/>
          <w:bCs/>
          <w:sz w:val="20"/>
          <w:szCs w:val="20"/>
        </w:rPr>
      </w:pPr>
      <w:r>
        <w:rPr>
          <w:rFonts w:ascii="Bookman Old Style" w:hAnsi="Bookman Old Style"/>
          <w:b/>
          <w:bCs/>
          <w:sz w:val="20"/>
          <w:szCs w:val="20"/>
        </w:rPr>
        <w:t>MINISTERE DE LA JUSTICE</w:t>
      </w:r>
    </w:p>
    <w:p w:rsidR="00B553F4" w:rsidRDefault="00B553F4" w:rsidP="00B553F4">
      <w:pPr>
        <w:jc w:val="center"/>
        <w:rPr>
          <w:rFonts w:ascii="Eras Bold ITC" w:hAnsi="Eras Bold ITC"/>
          <w:b/>
          <w:bCs/>
          <w:sz w:val="16"/>
        </w:rPr>
      </w:pPr>
      <w:r w:rsidRPr="00672E1F">
        <w:rPr>
          <w:rFonts w:ascii="Eras Bold ITC" w:hAnsi="Eras Bold ITC"/>
          <w:b/>
          <w:bCs/>
          <w:sz w:val="16"/>
        </w:rPr>
        <w:t xml:space="preserve">COUR D’APPEL DE </w:t>
      </w:r>
      <w:r w:rsidR="00811E1A">
        <w:rPr>
          <w:rFonts w:ascii="Eras Bold ITC" w:hAnsi="Eras Bold ITC"/>
          <w:b/>
          <w:bCs/>
          <w:sz w:val="16"/>
        </w:rPr>
        <w:t>KAOLACK</w:t>
      </w:r>
    </w:p>
    <w:p w:rsidR="00B553F4" w:rsidRDefault="00B553F4" w:rsidP="00B553F4">
      <w:pPr>
        <w:rPr>
          <w:rFonts w:ascii="Times New Roman" w:hAnsi="Times New Roman" w:cs="Times New Roman"/>
        </w:rPr>
      </w:pPr>
    </w:p>
    <w:p w:rsidR="00B553F4" w:rsidRDefault="00B553F4" w:rsidP="00B553F4">
      <w:pPr>
        <w:jc w:val="center"/>
        <w:rPr>
          <w:rFonts w:ascii="Times New Roman" w:hAnsi="Times New Roman" w:cs="Times New Roman"/>
          <w:b/>
          <w:i/>
        </w:rPr>
      </w:pPr>
    </w:p>
    <w:p w:rsidR="00B553F4" w:rsidRPr="00EF0034" w:rsidRDefault="00B553F4" w:rsidP="00B553F4">
      <w:pPr>
        <w:jc w:val="center"/>
        <w:rPr>
          <w:rFonts w:ascii="Times New Roman" w:hAnsi="Times New Roman" w:cs="Times New Roman"/>
          <w:b/>
          <w:i/>
        </w:rPr>
      </w:pPr>
      <w:r w:rsidRPr="00EF0034">
        <w:rPr>
          <w:rFonts w:ascii="Times New Roman" w:hAnsi="Times New Roman" w:cs="Times New Roman"/>
          <w:b/>
          <w:i/>
        </w:rPr>
        <w:t>SEMINAIRE SUR LES CHAMBRES CRIMINELLES</w:t>
      </w:r>
    </w:p>
    <w:p w:rsidR="00B553F4" w:rsidRPr="00DD6DD2" w:rsidRDefault="00B553F4" w:rsidP="00B553F4">
      <w:pPr>
        <w:spacing w:after="120"/>
        <w:jc w:val="center"/>
        <w:rPr>
          <w:rFonts w:ascii="Times New Roman" w:hAnsi="Times New Roman" w:cs="Times New Roman"/>
          <w:b/>
          <w:i/>
        </w:rPr>
      </w:pPr>
      <w:r w:rsidRPr="00DD6DD2">
        <w:rPr>
          <w:rFonts w:ascii="Times New Roman" w:hAnsi="Times New Roman" w:cs="Times New Roman"/>
          <w:b/>
          <w:i/>
        </w:rPr>
        <w:t>KAOLACK LE MARDI 13 FEVRIER 2018/ HOTEL LE RELAIS</w:t>
      </w:r>
    </w:p>
    <w:p w:rsidR="00B553F4" w:rsidRPr="00DD6DD2" w:rsidRDefault="00B553F4" w:rsidP="00B553F4">
      <w:pPr>
        <w:ind w:firstLine="708"/>
        <w:rPr>
          <w:rFonts w:ascii="Times New Roman" w:hAnsi="Times New Roman" w:cs="Times New Roman"/>
          <w:b/>
          <w:u w:val="single"/>
        </w:rPr>
      </w:pPr>
    </w:p>
    <w:p w:rsidR="00B553F4" w:rsidRPr="009B4935" w:rsidRDefault="00B553F4" w:rsidP="00B553F4">
      <w:pPr>
        <w:ind w:firstLine="708"/>
        <w:jc w:val="center"/>
        <w:rPr>
          <w:rFonts w:ascii="Times New Roman" w:hAnsi="Times New Roman" w:cs="Times New Roman"/>
          <w:b/>
          <w:u w:val="single"/>
        </w:rPr>
      </w:pPr>
      <w:r w:rsidRPr="009B4935">
        <w:rPr>
          <w:rFonts w:ascii="Times New Roman" w:hAnsi="Times New Roman" w:cs="Times New Roman"/>
          <w:b/>
          <w:u w:val="single"/>
        </w:rPr>
        <w:t>Rapport du séminaire sur les nullités en matière criminelle</w:t>
      </w:r>
    </w:p>
    <w:p w:rsidR="00B553F4" w:rsidRDefault="00B553F4" w:rsidP="00B553F4">
      <w:pPr>
        <w:ind w:firstLine="708"/>
        <w:rPr>
          <w:rFonts w:ascii="Times New Roman" w:hAnsi="Times New Roman" w:cs="Times New Roman"/>
        </w:rPr>
      </w:pPr>
    </w:p>
    <w:p w:rsidR="00B553F4" w:rsidRPr="0062063C" w:rsidRDefault="00B553F4" w:rsidP="00B553F4">
      <w:pPr>
        <w:spacing w:line="360" w:lineRule="auto"/>
        <w:ind w:firstLine="708"/>
        <w:jc w:val="both"/>
        <w:rPr>
          <w:rFonts w:cs="Times New Roman"/>
        </w:rPr>
      </w:pPr>
      <w:r w:rsidRPr="0062063C">
        <w:rPr>
          <w:rFonts w:cs="Times New Roman"/>
        </w:rPr>
        <w:t xml:space="preserve">L’an deux mille </w:t>
      </w:r>
      <w:r w:rsidR="009227AC" w:rsidRPr="0062063C">
        <w:rPr>
          <w:rFonts w:cs="Times New Roman"/>
        </w:rPr>
        <w:t>dix-huit</w:t>
      </w:r>
      <w:r w:rsidRPr="0062063C">
        <w:rPr>
          <w:rFonts w:cs="Times New Roman"/>
        </w:rPr>
        <w:t xml:space="preserve"> et le 13 du mois de février, s’est tenu à l’hôtel Le Relais un séminaire organisé par le Centre de Formation Judiciaire dans le cadre de ses activités de formation continue des magistrats. Ce séminaire portait sur les nullités devant les chambres criminelles. </w:t>
      </w:r>
    </w:p>
    <w:p w:rsidR="00B553F4" w:rsidRPr="0062063C" w:rsidRDefault="00B553F4" w:rsidP="00B553F4">
      <w:pPr>
        <w:spacing w:line="360" w:lineRule="auto"/>
        <w:ind w:firstLine="708"/>
        <w:jc w:val="both"/>
        <w:rPr>
          <w:rFonts w:cs="Times New Roman"/>
        </w:rPr>
      </w:pPr>
      <w:r w:rsidRPr="0062063C">
        <w:rPr>
          <w:rFonts w:cs="Times New Roman"/>
        </w:rPr>
        <w:t xml:space="preserve">La rencontre qui a enregistré la présence des magistrats des TGI du ressort de la Cour d’Appel de Kaolack,  a été présidée par Monsieur Ousmane KANE, Premier Président de ladite Juridiction et modérée par Monsieur Alpha </w:t>
      </w:r>
      <w:proofErr w:type="spellStart"/>
      <w:r w:rsidRPr="0062063C">
        <w:rPr>
          <w:rFonts w:cs="Times New Roman"/>
        </w:rPr>
        <w:t>Osseynou</w:t>
      </w:r>
      <w:proofErr w:type="spellEnd"/>
      <w:r w:rsidRPr="0062063C">
        <w:rPr>
          <w:rFonts w:cs="Times New Roman"/>
        </w:rPr>
        <w:t xml:space="preserve"> DIALLO, Procureur Général près ladite  Cour.</w:t>
      </w:r>
    </w:p>
    <w:p w:rsidR="00B553F4" w:rsidRPr="0062063C" w:rsidRDefault="00B553F4" w:rsidP="00B553F4">
      <w:pPr>
        <w:spacing w:line="360" w:lineRule="auto"/>
        <w:ind w:firstLine="708"/>
        <w:jc w:val="both"/>
        <w:rPr>
          <w:rFonts w:cs="Times New Roman"/>
        </w:rPr>
      </w:pPr>
      <w:r w:rsidRPr="0062063C">
        <w:rPr>
          <w:rFonts w:cs="Times New Roman"/>
        </w:rPr>
        <w:t xml:space="preserve">A l’entame, le Procureur Général a adressé ses vifs remerciements et félicitations à la Direction du centre de formation judiciaire pour avoir organisé un tel séminaire à point nommé en ce sens qu’il a estimé que la question des nullités devant les chambres criminelles constitue un problème sérieux auquel des solutions idoines doivent être apportées avant de donner la parole au Premier Président pour le discours d’ouverture. </w:t>
      </w:r>
    </w:p>
    <w:p w:rsidR="00B553F4" w:rsidRPr="0062063C" w:rsidRDefault="00B553F4" w:rsidP="00B553F4">
      <w:pPr>
        <w:spacing w:line="360" w:lineRule="auto"/>
        <w:ind w:firstLine="708"/>
        <w:jc w:val="both"/>
        <w:rPr>
          <w:rFonts w:cs="Times New Roman"/>
        </w:rPr>
      </w:pPr>
      <w:r w:rsidRPr="0062063C">
        <w:rPr>
          <w:rFonts w:cs="Times New Roman"/>
        </w:rPr>
        <w:t>Le Premier Président, Ousmane KANE, a axé son discours sur la gravité des conséquences qui découlent de l’annulation d’une procédure devant la chambre criminelle notamment de la perception que les victimes se font de la Justice et du peuple de façon générale au nom duquel celle-ci est rendue. Il a appelé les  magistrats à plus de responsabilité dans l’exercice de leurs fonctions respectives  tout en soulignant que l’omission de formalités prescrites par la loi entrainant l’annulation des procédures est constitutive de faute disciplinaire avant de déclarer ouverte la séance.</w:t>
      </w:r>
    </w:p>
    <w:p w:rsidR="00B553F4" w:rsidRPr="0062063C" w:rsidRDefault="00B553F4" w:rsidP="00B553F4">
      <w:pPr>
        <w:spacing w:line="360" w:lineRule="auto"/>
        <w:jc w:val="both"/>
        <w:rPr>
          <w:rFonts w:cs="Times New Roman"/>
        </w:rPr>
      </w:pPr>
      <w:r w:rsidRPr="0062063C">
        <w:rPr>
          <w:rFonts w:cs="Times New Roman"/>
        </w:rPr>
        <w:t xml:space="preserve">A la suite du Président, l’expert Cheikh DIAKHOUMPA a fait un exposé sur les nullités de procédure en matière criminelle ; </w:t>
      </w:r>
    </w:p>
    <w:p w:rsidR="00B553F4" w:rsidRPr="0062063C" w:rsidRDefault="00B553F4" w:rsidP="00B553F4">
      <w:pPr>
        <w:spacing w:line="360" w:lineRule="auto"/>
        <w:ind w:firstLine="708"/>
        <w:jc w:val="both"/>
        <w:rPr>
          <w:rFonts w:cs="Times New Roman"/>
        </w:rPr>
      </w:pPr>
      <w:r w:rsidRPr="0062063C">
        <w:rPr>
          <w:rFonts w:cs="Times New Roman"/>
        </w:rPr>
        <w:lastRenderedPageBreak/>
        <w:t xml:space="preserve">A l’entame de son intervention, il est revenu sur la genèse des nullités qui présentent des origines romaines avant d’en venir au régime sénégalais qui est dual en consacrant d’une part des nullités textuelles et d’autre part celles dites comminatoires ou substantielles avec un pouvoir d’appréciation du Juge. </w:t>
      </w:r>
    </w:p>
    <w:p w:rsidR="00B553F4" w:rsidRPr="0062063C" w:rsidRDefault="00B553F4" w:rsidP="00B553F4">
      <w:pPr>
        <w:spacing w:line="360" w:lineRule="auto"/>
        <w:ind w:firstLine="708"/>
        <w:jc w:val="both"/>
        <w:rPr>
          <w:rFonts w:cs="Times New Roman"/>
        </w:rPr>
      </w:pPr>
      <w:r w:rsidRPr="0062063C">
        <w:rPr>
          <w:rFonts w:cs="Times New Roman"/>
        </w:rPr>
        <w:t xml:space="preserve">Les nullités textuelles sont celles préétablies et prévues par des textes enlevant au juge tout pouvoir d’appréciation avec  comme conséquence l’annulation systématique. Pour la clarté de l’exposé, il a distingué les nullités textuelles  concernant la phase d’enquête ayant leur siège aux articles 51, 55, 55 ter et 57 du Code de procédure pénale   et celles relatives à la phase de l’instruction principalement par les articles 101 et 105 du même code. </w:t>
      </w:r>
    </w:p>
    <w:p w:rsidR="00B553F4" w:rsidRPr="0062063C" w:rsidRDefault="00B553F4" w:rsidP="00B553F4">
      <w:pPr>
        <w:spacing w:line="360" w:lineRule="auto"/>
        <w:ind w:firstLine="708"/>
        <w:jc w:val="both"/>
        <w:rPr>
          <w:rFonts w:cs="Times New Roman"/>
        </w:rPr>
      </w:pPr>
      <w:r w:rsidRPr="0062063C">
        <w:rPr>
          <w:rFonts w:cs="Times New Roman"/>
        </w:rPr>
        <w:t xml:space="preserve">S’agissant de la phase de l’enquête, il a insisté particulièrement sur le droit à un conseil dès l’interpellation, question définitivement  réglée  par la réforme de 2016 et la circulaire du Garde des Sceaux/Ministre de la justice. Il a rappelé également que le législateur pour préserver la vie privée des personnes sanctionne par la nullité toute perquisition effectuée sans recueillir au préalable le consentement de la personne concernée sauf, bien entendu, en cas d’enquête de flagrance. </w:t>
      </w:r>
    </w:p>
    <w:p w:rsidR="00B553F4" w:rsidRPr="0062063C" w:rsidRDefault="00B553F4" w:rsidP="00B553F4">
      <w:pPr>
        <w:spacing w:line="360" w:lineRule="auto"/>
        <w:ind w:firstLine="708"/>
        <w:jc w:val="both"/>
        <w:rPr>
          <w:rFonts w:cs="Times New Roman"/>
        </w:rPr>
      </w:pPr>
      <w:r w:rsidRPr="0062063C">
        <w:rPr>
          <w:rFonts w:cs="Times New Roman"/>
        </w:rPr>
        <w:t xml:space="preserve">Concernant, la phase de l’instruction, il est revenu largement sur les dispositions des articles 101 et 105 du Code de procédure pénale dont la violation est souvent invoquée pour faire annuler des procédures devant la chambre criminelle. Il faut noter sur ce point que la commission d’office d’un conseil doit être matérialisée afin d’éviter toute contestation ultérieure et que le délai de 24 heures doit être également observé. Il a insisté sur les dispositions de l’article 105 notamment sur les conditions de la renonciation pour l’inculpé d’être interrogé ou confronté sans la présence de son conseil. </w:t>
      </w:r>
    </w:p>
    <w:p w:rsidR="00B553F4" w:rsidRPr="0062063C" w:rsidRDefault="00B553F4" w:rsidP="00B553F4">
      <w:pPr>
        <w:spacing w:line="360" w:lineRule="auto"/>
        <w:ind w:firstLine="708"/>
        <w:jc w:val="both"/>
        <w:rPr>
          <w:rFonts w:cs="Times New Roman"/>
        </w:rPr>
      </w:pPr>
      <w:r w:rsidRPr="0062063C">
        <w:rPr>
          <w:rFonts w:cs="Times New Roman"/>
        </w:rPr>
        <w:t xml:space="preserve">Abordant la question des nullités dites substantielles, là également il a procédé à la même distinction selon que l’on soit dans la  phase de l’enquête ou de l’instruction. Il a rappelé que les nullités substantielles font appel à deux notions dont les contours restent difficiles à circonscrire. Il s’agit de la notion d’ordre public et celle des droits de la défense. A ce niveau, il a fait appel au droit notamment français  qui, par la loi de 1975, en son article 802 du code de procédure pénale, a consacré la théorie du « bâillonnement » des nullités conférant ainsi au Juge un pouvoir d’appréciation  en cas de nullité d’ordre public. </w:t>
      </w:r>
    </w:p>
    <w:p w:rsidR="00B553F4" w:rsidRPr="0062063C" w:rsidRDefault="00B553F4" w:rsidP="00B553F4">
      <w:pPr>
        <w:spacing w:line="360" w:lineRule="auto"/>
        <w:ind w:firstLine="708"/>
        <w:jc w:val="both"/>
        <w:rPr>
          <w:rFonts w:cs="Times New Roman"/>
        </w:rPr>
      </w:pPr>
      <w:r w:rsidRPr="0062063C">
        <w:rPr>
          <w:rFonts w:cs="Times New Roman"/>
        </w:rPr>
        <w:t xml:space="preserve">Entamant la deuxième partie de  son exposé qui est relative à la mise en œuvre des nullités, l’expert a fait état de la nécessaire sauvegarde par des techniques telles que la réparation, la réfaction ou la neutralisation avant de mettre en exergue le droit de critique. </w:t>
      </w:r>
    </w:p>
    <w:p w:rsidR="00B553F4" w:rsidRPr="0062063C" w:rsidRDefault="00B553F4" w:rsidP="00B553F4">
      <w:pPr>
        <w:spacing w:line="360" w:lineRule="auto"/>
        <w:ind w:firstLine="708"/>
        <w:jc w:val="both"/>
        <w:rPr>
          <w:rFonts w:cs="Times New Roman"/>
        </w:rPr>
      </w:pPr>
      <w:r w:rsidRPr="0062063C">
        <w:rPr>
          <w:rFonts w:cs="Times New Roman"/>
        </w:rPr>
        <w:lastRenderedPageBreak/>
        <w:t xml:space="preserve">Pour la réparation qui trouve son fondement légal au chapitre 10 du Titre 3 du Code de procédure pénale, l’expert a souligné que la renonciation à une nullité permet de régulariser la procédure. Cette renonciation doit cependant être expresse et émaner de l’inculpé, en connaissance de cause et le procès-verbal constatant la renonciation signé du Juge, du greffier, de l’inculpé. </w:t>
      </w:r>
    </w:p>
    <w:p w:rsidR="00B553F4" w:rsidRPr="0062063C" w:rsidRDefault="00B553F4" w:rsidP="00B553F4">
      <w:pPr>
        <w:spacing w:line="360" w:lineRule="auto"/>
        <w:ind w:firstLine="708"/>
        <w:jc w:val="both"/>
        <w:rPr>
          <w:rFonts w:cs="Times New Roman"/>
        </w:rPr>
      </w:pPr>
      <w:r w:rsidRPr="0062063C">
        <w:rPr>
          <w:rFonts w:cs="Times New Roman"/>
        </w:rPr>
        <w:t>Relativement à la réfaction, qui a son siège à l’article 147 du code de procédure pénale, il a indiqué qu’elle a pour domaine les délégations judiciaires, en ce qui les concerne, le juge pourra refaire l’acte entaché d’irrégularité mais un tel procédé suppose au préalable l’annulation de l’acte irrégulier.</w:t>
      </w:r>
    </w:p>
    <w:p w:rsidR="00B553F4" w:rsidRPr="0062063C" w:rsidRDefault="00B553F4" w:rsidP="00B553F4">
      <w:pPr>
        <w:spacing w:line="360" w:lineRule="auto"/>
        <w:ind w:firstLine="708"/>
        <w:jc w:val="both"/>
        <w:rPr>
          <w:rFonts w:cs="Times New Roman"/>
        </w:rPr>
      </w:pPr>
      <w:r w:rsidRPr="0062063C">
        <w:rPr>
          <w:rFonts w:cs="Times New Roman"/>
        </w:rPr>
        <w:t xml:space="preserve">S’agissant de la neutralisation, il s’est agi pour lui de voir si les dispositions de l’article 557 du code de procédure pénale subsistent toujours malgré les réformes de 2014 et 2016 et qui conféraient un effet de purge des nullités à l’arrêt de renvoi de la chambre d’accusation. </w:t>
      </w:r>
    </w:p>
    <w:p w:rsidR="00B553F4" w:rsidRPr="0062063C" w:rsidRDefault="00B553F4" w:rsidP="00B553F4">
      <w:pPr>
        <w:spacing w:line="360" w:lineRule="auto"/>
        <w:ind w:firstLine="708"/>
        <w:jc w:val="both"/>
        <w:rPr>
          <w:rFonts w:cs="Times New Roman"/>
        </w:rPr>
      </w:pPr>
      <w:r w:rsidRPr="0062063C">
        <w:rPr>
          <w:rFonts w:cs="Times New Roman"/>
        </w:rPr>
        <w:t xml:space="preserve">Sur le second sous point relatif au droit de critique, il a d’abord commencé par identifier les titulaires de ce droit à savoir le juge d’instruction lui-même, le ministère public et les parties privées avant de décliner la procédure de saisine de la chambre d’accusation qui se fait par voie de requête. Ces différentes précisions faites, l’expert a remercié l’assistance avant de conclure. </w:t>
      </w:r>
    </w:p>
    <w:p w:rsidR="00B553F4" w:rsidRPr="0062063C" w:rsidRDefault="00B553F4" w:rsidP="00B553F4">
      <w:pPr>
        <w:spacing w:line="360" w:lineRule="auto"/>
        <w:ind w:firstLine="708"/>
        <w:jc w:val="both"/>
        <w:rPr>
          <w:rFonts w:cs="Times New Roman"/>
        </w:rPr>
      </w:pPr>
      <w:r w:rsidRPr="0062063C">
        <w:rPr>
          <w:rFonts w:cs="Times New Roman"/>
        </w:rPr>
        <w:t xml:space="preserve">Après l’exposé du Docteur DIAKHOUMPA, les Présidents des Tribunaux de grande instance de Kaolack, de Tambacounda et de Fatick ont respectivement pris la parole pour faire état des difficultés rencontrées dans la mise en œuvre du régime des nullités devant les chambres criminelles. Chacun en ce qui le concerne a exposé à l’assistance les solutions apportées à ces différents cas non sans citer des décisions adoptées par sa juridiction. Pour l’essentiel, ils ont indiqué que les exceptions de nullités sont souvent relatives au non-respect des formalités prescrites par les articles 101 et 015 du Code de procédure pénale mais ont  cherché à couvrir de tels cas de nullité afin de sauvegarder les procédures tout en indiquant que cela ne peut plus prospérer. </w:t>
      </w:r>
    </w:p>
    <w:p w:rsidR="00B553F4" w:rsidRPr="0062063C" w:rsidRDefault="00B553F4" w:rsidP="00B553F4">
      <w:pPr>
        <w:spacing w:line="360" w:lineRule="auto"/>
        <w:ind w:firstLine="708"/>
        <w:jc w:val="both"/>
        <w:rPr>
          <w:rFonts w:cs="Times New Roman"/>
        </w:rPr>
      </w:pPr>
      <w:r w:rsidRPr="0062063C">
        <w:rPr>
          <w:rFonts w:cs="Times New Roman"/>
        </w:rPr>
        <w:t xml:space="preserve">Par la suite, le modérateur a ouvert les débats et les participants ont soulevé diverses interrogations. Certains ont soutenu que pour régler les cas de nullités liés à l’article 101 du Code de procédure pénale, il faut impérativement donner force et crédit aux inscriptions du Juge d’instruction relativement à la commission d’office et au délai d’attente de 24 heures pour autant que celui-ci ait agi sous la foi de son serment. Il a été également soulevé la </w:t>
      </w:r>
      <w:r w:rsidRPr="0062063C">
        <w:rPr>
          <w:rFonts w:cs="Times New Roman"/>
        </w:rPr>
        <w:lastRenderedPageBreak/>
        <w:t xml:space="preserve">question relative à la formule des avis mais aussi celle concernant les appels téléphoniques, moyens dont le magistrat fait usage pour aviser l’avocat du mis en cause avant de souligner aussi que les actes d’un juge bénéficient d’une présomption de régularité, pour autant qu’ils sont authentiques  et qu’il doit appartenir à ceux qui contestent  leur sincérité d’en rapporter la preuve par la voie de la procédure d’inscription de faux. Les intervenants sont revenus également sur la lecture qu’il faut avoir de l’article 105 et pour la plupart d’entre eux les conditions édictées ne sont pas cumulatives. </w:t>
      </w:r>
    </w:p>
    <w:p w:rsidR="00B553F4" w:rsidRPr="0062063C" w:rsidRDefault="00B553F4" w:rsidP="00B553F4">
      <w:pPr>
        <w:spacing w:line="360" w:lineRule="auto"/>
        <w:ind w:firstLine="708"/>
        <w:jc w:val="both"/>
        <w:rPr>
          <w:rFonts w:cs="Times New Roman"/>
        </w:rPr>
      </w:pPr>
      <w:r w:rsidRPr="0062063C">
        <w:rPr>
          <w:rFonts w:cs="Times New Roman"/>
        </w:rPr>
        <w:t xml:space="preserve">D’autres intervenants ont particulièrement insisté sur les conséquences de l’annulation d’un acte de procédure et de l’étendue de celle-ci. Certains ont défendu l’argument selon lequel  après annulation la personne libérée peut à nouveau être arrêtée si les faits qui lui sont reprochés ne sont pas encore prescrits. D’aucuns ont soutenu le contraire en se plaçant sur le terrain du respect des droits de la défense et des droits de l’homme, ce, d’autant plus que la question du sort de la détention préventive avant annulation reste entière. Il a été souligné par certains intervenants du nécessaire respect des dispositions du code de procédure pénale en matière de garde à vue même si la procédure est initiée par les agents de la douane. </w:t>
      </w:r>
    </w:p>
    <w:p w:rsidR="00B553F4" w:rsidRPr="0062063C" w:rsidRDefault="00B553F4" w:rsidP="00B553F4">
      <w:pPr>
        <w:spacing w:line="360" w:lineRule="auto"/>
        <w:ind w:firstLine="708"/>
        <w:jc w:val="both"/>
        <w:rPr>
          <w:rFonts w:cs="Times New Roman"/>
        </w:rPr>
      </w:pPr>
      <w:r w:rsidRPr="0062063C">
        <w:rPr>
          <w:rFonts w:cs="Times New Roman"/>
        </w:rPr>
        <w:t xml:space="preserve">A ces diverses interpellations et interrogations, l’expert a apporté des réponses et fait observer que le juge d’instruction doit respecter le délai d’attente de 24 heures même s’il est confronté à des difficultés pratiques. </w:t>
      </w:r>
    </w:p>
    <w:p w:rsidR="00B553F4" w:rsidRPr="0062063C" w:rsidRDefault="00B553F4" w:rsidP="00B553F4">
      <w:pPr>
        <w:spacing w:line="360" w:lineRule="auto"/>
        <w:ind w:firstLine="708"/>
        <w:jc w:val="both"/>
        <w:rPr>
          <w:rFonts w:cs="Times New Roman"/>
        </w:rPr>
      </w:pPr>
      <w:r w:rsidRPr="0062063C">
        <w:rPr>
          <w:rFonts w:cs="Times New Roman"/>
        </w:rPr>
        <w:t xml:space="preserve">Par rapport aux conditions édictées par l’article 105, l’expert  a tranché le débat en estimant que celles-ci sont cumulatives. Quant à l’étendue de l’annulation, il a renvoyé les participants aux dispositions de l’article 101 en soulignant que les nullités y prévues entachent toute la procédure d’où la théorie de l’acte empoisonné. Il a également estimé que le procureur de la République est bien habilité à reprendre les poursuites en cas d’annulation d’une procédure antérieure en faisant décerner un nouveau mandat de dépôt dès lors que les faits ne sont pas encore prescrits. Il s’est dit également être en phase avec la position du DACG selon laquelle il faut distinguer, dans la procédure douanière, selon qu’il s’agit d’un procès-verbal de saisie ou d’audition. Si le premier ne peut être annulé qu’en se conformant à la législation douanière, pour le second, par contre, il peut être annulé en se référant aux dispositions de droit commun. </w:t>
      </w:r>
    </w:p>
    <w:p w:rsidR="00B553F4" w:rsidRPr="0062063C" w:rsidRDefault="00B553F4" w:rsidP="00B553F4">
      <w:pPr>
        <w:spacing w:line="360" w:lineRule="auto"/>
        <w:ind w:firstLine="708"/>
        <w:jc w:val="both"/>
        <w:rPr>
          <w:rFonts w:cs="Times New Roman"/>
        </w:rPr>
      </w:pPr>
      <w:r w:rsidRPr="0062063C">
        <w:rPr>
          <w:rFonts w:cs="Times New Roman"/>
        </w:rPr>
        <w:t xml:space="preserve">A la suite de l’intervention de l’expert, </w:t>
      </w:r>
      <w:r w:rsidRPr="0062063C">
        <w:rPr>
          <w:rFonts w:cs="Times New Roman"/>
          <w:b/>
        </w:rPr>
        <w:t>des recommandations</w:t>
      </w:r>
      <w:r w:rsidRPr="0062063C">
        <w:rPr>
          <w:rFonts w:cs="Times New Roman"/>
        </w:rPr>
        <w:t xml:space="preserve"> ont été faites et retenues par la séance. Il s’agit :</w:t>
      </w:r>
    </w:p>
    <w:p w:rsidR="00B553F4" w:rsidRPr="0062063C" w:rsidRDefault="00B553F4" w:rsidP="00B553F4">
      <w:pPr>
        <w:pStyle w:val="Paragraphedeliste"/>
        <w:numPr>
          <w:ilvl w:val="0"/>
          <w:numId w:val="21"/>
        </w:numPr>
        <w:spacing w:line="360" w:lineRule="auto"/>
        <w:jc w:val="both"/>
        <w:rPr>
          <w:rFonts w:cs="Times New Roman"/>
        </w:rPr>
      </w:pPr>
      <w:r w:rsidRPr="0062063C">
        <w:rPr>
          <w:rFonts w:cs="Times New Roman"/>
        </w:rPr>
        <w:lastRenderedPageBreak/>
        <w:t>Assortir du délai de 24 heures prévu par l’article 101 d’un retour de parquet.</w:t>
      </w:r>
    </w:p>
    <w:p w:rsidR="00B553F4" w:rsidRPr="0062063C" w:rsidRDefault="00B553F4" w:rsidP="00B553F4">
      <w:pPr>
        <w:pStyle w:val="Paragraphedeliste"/>
        <w:numPr>
          <w:ilvl w:val="0"/>
          <w:numId w:val="21"/>
        </w:numPr>
        <w:spacing w:line="360" w:lineRule="auto"/>
        <w:jc w:val="both"/>
        <w:rPr>
          <w:rFonts w:cs="Times New Roman"/>
        </w:rPr>
      </w:pPr>
      <w:r w:rsidRPr="0062063C">
        <w:rPr>
          <w:rFonts w:cs="Times New Roman"/>
        </w:rPr>
        <w:t xml:space="preserve">Réécrire les dispositions de l’article 169 du code de procédure pénale en prévoyant un délai de deux mois, après les avis de clôture de l’information, délai pendant lequel les parties seront dans l’obligation de soumettre à la chambre d’accusation tous les cas de nullité. </w:t>
      </w:r>
    </w:p>
    <w:p w:rsidR="00B553F4" w:rsidRPr="0062063C" w:rsidRDefault="00B553F4" w:rsidP="00B553F4">
      <w:pPr>
        <w:pStyle w:val="Paragraphedeliste"/>
        <w:numPr>
          <w:ilvl w:val="0"/>
          <w:numId w:val="21"/>
        </w:numPr>
        <w:spacing w:line="360" w:lineRule="auto"/>
        <w:jc w:val="both"/>
        <w:rPr>
          <w:rFonts w:cs="Times New Roman"/>
        </w:rPr>
      </w:pPr>
      <w:r w:rsidRPr="0062063C">
        <w:rPr>
          <w:rFonts w:cs="Times New Roman"/>
        </w:rPr>
        <w:t>Intégrer la voie téléphonique comme un moyen de notification  en réécrivant l’alinéa 5 de l’article 101 du code de procédure pénale.</w:t>
      </w:r>
    </w:p>
    <w:p w:rsidR="00B553F4" w:rsidRPr="0062063C" w:rsidRDefault="00B553F4" w:rsidP="00B553F4">
      <w:pPr>
        <w:pStyle w:val="Paragraphedeliste"/>
        <w:numPr>
          <w:ilvl w:val="0"/>
          <w:numId w:val="21"/>
        </w:numPr>
        <w:spacing w:line="360" w:lineRule="auto"/>
        <w:jc w:val="both"/>
        <w:rPr>
          <w:rFonts w:cs="Times New Roman"/>
        </w:rPr>
      </w:pPr>
      <w:r w:rsidRPr="0062063C">
        <w:rPr>
          <w:rFonts w:cs="Times New Roman"/>
        </w:rPr>
        <w:t xml:space="preserve">Permettre au Juge d’instruction de procéder à l’inculpation sans avoir à observer le délai d’attente de 24 heures lorsque le conseil du mis en cause, avisé, dit ne pouvoir se présenter dans ledit délai. </w:t>
      </w:r>
    </w:p>
    <w:p w:rsidR="00B553F4" w:rsidRPr="0062063C" w:rsidRDefault="00B553F4" w:rsidP="00B553F4">
      <w:pPr>
        <w:spacing w:line="360" w:lineRule="auto"/>
        <w:jc w:val="both"/>
        <w:rPr>
          <w:rFonts w:cs="Times New Roman"/>
        </w:rPr>
      </w:pPr>
      <w:r w:rsidRPr="0062063C">
        <w:rPr>
          <w:rFonts w:cs="Times New Roman"/>
        </w:rPr>
        <w:t xml:space="preserve">14 heures passées de quelques minutes, les travaux ont été clôturés par le Premier Président de la Cour d’appel, qui après remerciements, a levé la séance. </w:t>
      </w:r>
    </w:p>
    <w:p w:rsidR="00B553F4" w:rsidRPr="0062063C" w:rsidRDefault="00B553F4" w:rsidP="00B553F4">
      <w:pPr>
        <w:spacing w:line="360" w:lineRule="auto"/>
        <w:jc w:val="both"/>
      </w:pPr>
    </w:p>
    <w:p w:rsidR="0073110D" w:rsidRPr="0062063C" w:rsidRDefault="00972828" w:rsidP="00B553F4">
      <w:pPr>
        <w:spacing w:after="160" w:line="259" w:lineRule="auto"/>
      </w:pPr>
    </w:p>
    <w:sectPr w:rsidR="0073110D" w:rsidRPr="0062063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Fax">
    <w:panose1 w:val="020606020505050202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gency FB">
    <w:panose1 w:val="020B0503020202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Eras Bold ITC">
    <w:panose1 w:val="020B0907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D3675"/>
    <w:multiLevelType w:val="hybridMultilevel"/>
    <w:tmpl w:val="E7460F5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F2C37EA"/>
    <w:multiLevelType w:val="hybridMultilevel"/>
    <w:tmpl w:val="8E88A32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2BF5034"/>
    <w:multiLevelType w:val="hybridMultilevel"/>
    <w:tmpl w:val="3B9C357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A90439C"/>
    <w:multiLevelType w:val="hybridMultilevel"/>
    <w:tmpl w:val="7B2E2460"/>
    <w:lvl w:ilvl="0" w:tplc="A442086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B757B05"/>
    <w:multiLevelType w:val="multilevel"/>
    <w:tmpl w:val="984E7690"/>
    <w:lvl w:ilvl="0">
      <w:start w:val="2"/>
      <w:numFmt w:val="decimal"/>
      <w:lvlText w:val="%1-"/>
      <w:lvlJc w:val="left"/>
      <w:pPr>
        <w:ind w:left="495" w:hanging="49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5">
    <w:nsid w:val="1D3F2B16"/>
    <w:multiLevelType w:val="hybridMultilevel"/>
    <w:tmpl w:val="B0DC688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7034B75"/>
    <w:multiLevelType w:val="hybridMultilevel"/>
    <w:tmpl w:val="E920158E"/>
    <w:lvl w:ilvl="0" w:tplc="62ACC158">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28BF5593"/>
    <w:multiLevelType w:val="hybridMultilevel"/>
    <w:tmpl w:val="259E6B2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90D0EF0"/>
    <w:multiLevelType w:val="hybridMultilevel"/>
    <w:tmpl w:val="AF4CA696"/>
    <w:lvl w:ilvl="0" w:tplc="FECA572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2C4D3A76"/>
    <w:multiLevelType w:val="hybridMultilevel"/>
    <w:tmpl w:val="D486A7E6"/>
    <w:lvl w:ilvl="0" w:tplc="A5E60A4E">
      <w:start w:val="2"/>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nsid w:val="2DD45BDD"/>
    <w:multiLevelType w:val="hybridMultilevel"/>
    <w:tmpl w:val="1436A814"/>
    <w:lvl w:ilvl="0" w:tplc="109463F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015429B"/>
    <w:multiLevelType w:val="hybridMultilevel"/>
    <w:tmpl w:val="DEE6B47E"/>
    <w:lvl w:ilvl="0" w:tplc="B1F81DDC">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0364FD1"/>
    <w:multiLevelType w:val="hybridMultilevel"/>
    <w:tmpl w:val="8F32E476"/>
    <w:lvl w:ilvl="0" w:tplc="930218E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34986427"/>
    <w:multiLevelType w:val="multilevel"/>
    <w:tmpl w:val="D5D04AC6"/>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nsid w:val="42D23DD8"/>
    <w:multiLevelType w:val="hybridMultilevel"/>
    <w:tmpl w:val="9EC6B834"/>
    <w:lvl w:ilvl="0" w:tplc="B3F66164">
      <w:numFmt w:val="bullet"/>
      <w:lvlText w:val="-"/>
      <w:lvlJc w:val="left"/>
      <w:pPr>
        <w:ind w:left="720" w:hanging="360"/>
      </w:pPr>
      <w:rPr>
        <w:rFonts w:ascii="Cambria" w:eastAsiaTheme="minorEastAsia" w:hAnsi="Cambr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nsid w:val="494D4848"/>
    <w:multiLevelType w:val="hybridMultilevel"/>
    <w:tmpl w:val="028CFE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505E612E"/>
    <w:multiLevelType w:val="hybridMultilevel"/>
    <w:tmpl w:val="C93476E4"/>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nsid w:val="666D27B4"/>
    <w:multiLevelType w:val="multilevel"/>
    <w:tmpl w:val="D80CF8BE"/>
    <w:lvl w:ilvl="0">
      <w:start w:val="2"/>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18">
    <w:nsid w:val="6D3978B7"/>
    <w:multiLevelType w:val="hybridMultilevel"/>
    <w:tmpl w:val="773E297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nsid w:val="73315D5C"/>
    <w:multiLevelType w:val="hybridMultilevel"/>
    <w:tmpl w:val="A0F8D5BE"/>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81632CC"/>
    <w:multiLevelType w:val="hybridMultilevel"/>
    <w:tmpl w:val="39F018AA"/>
    <w:lvl w:ilvl="0" w:tplc="258E370C">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nsid w:val="7CF646A0"/>
    <w:multiLevelType w:val="hybridMultilevel"/>
    <w:tmpl w:val="D1C4F64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4"/>
  </w:num>
  <w:num w:numId="2">
    <w:abstractNumId w:val="21"/>
  </w:num>
  <w:num w:numId="3">
    <w:abstractNumId w:val="15"/>
  </w:num>
  <w:num w:numId="4">
    <w:abstractNumId w:val="0"/>
  </w:num>
  <w:num w:numId="5">
    <w:abstractNumId w:val="1"/>
  </w:num>
  <w:num w:numId="6">
    <w:abstractNumId w:val="13"/>
  </w:num>
  <w:num w:numId="7">
    <w:abstractNumId w:val="3"/>
  </w:num>
  <w:num w:numId="8">
    <w:abstractNumId w:val="9"/>
  </w:num>
  <w:num w:numId="9">
    <w:abstractNumId w:val="17"/>
  </w:num>
  <w:num w:numId="10">
    <w:abstractNumId w:val="18"/>
  </w:num>
  <w:num w:numId="11">
    <w:abstractNumId w:val="8"/>
  </w:num>
  <w:num w:numId="12">
    <w:abstractNumId w:val="12"/>
  </w:num>
  <w:num w:numId="13">
    <w:abstractNumId w:val="5"/>
  </w:num>
  <w:num w:numId="14">
    <w:abstractNumId w:val="2"/>
  </w:num>
  <w:num w:numId="15">
    <w:abstractNumId w:val="7"/>
  </w:num>
  <w:num w:numId="16">
    <w:abstractNumId w:val="16"/>
  </w:num>
  <w:num w:numId="17">
    <w:abstractNumId w:val="19"/>
  </w:num>
  <w:num w:numId="18">
    <w:abstractNumId w:val="4"/>
  </w:num>
  <w:num w:numId="19">
    <w:abstractNumId w:val="10"/>
  </w:num>
  <w:num w:numId="20">
    <w:abstractNumId w:val="20"/>
  </w:num>
  <w:num w:numId="21">
    <w:abstractNumId w:val="11"/>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BE6"/>
    <w:rsid w:val="00274847"/>
    <w:rsid w:val="0058794D"/>
    <w:rsid w:val="0062063C"/>
    <w:rsid w:val="00811E1A"/>
    <w:rsid w:val="00862B72"/>
    <w:rsid w:val="009227AC"/>
    <w:rsid w:val="00972828"/>
    <w:rsid w:val="009B2B0A"/>
    <w:rsid w:val="00AA255B"/>
    <w:rsid w:val="00B516EC"/>
    <w:rsid w:val="00B553F4"/>
    <w:rsid w:val="00B92883"/>
    <w:rsid w:val="00C56B28"/>
    <w:rsid w:val="00D07BE6"/>
    <w:rsid w:val="00F2478F"/>
    <w:rsid w:val="00FA1C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E6"/>
    <w:pPr>
      <w:spacing w:after="0" w:line="240" w:lineRule="auto"/>
    </w:pPr>
    <w:rPr>
      <w:rFonts w:eastAsiaTheme="minorEastAsia"/>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D07BE6"/>
    <w:pPr>
      <w:spacing w:before="100" w:beforeAutospacing="1" w:after="100" w:afterAutospacing="1"/>
    </w:pPr>
    <w:rPr>
      <w:rFonts w:ascii="Times New Roman" w:eastAsia="Times New Roman" w:hAnsi="Times New Roman" w:cs="Times New Roman"/>
    </w:rPr>
  </w:style>
  <w:style w:type="paragraph" w:styleId="Paragraphedeliste">
    <w:name w:val="List Paragraph"/>
    <w:basedOn w:val="Normal"/>
    <w:uiPriority w:val="34"/>
    <w:qFormat/>
    <w:rsid w:val="00D07BE6"/>
    <w:pPr>
      <w:ind w:left="720"/>
      <w:contextualSpacing/>
    </w:pPr>
  </w:style>
  <w:style w:type="character" w:styleId="lev">
    <w:name w:val="Strong"/>
    <w:basedOn w:val="Policepardfaut"/>
    <w:uiPriority w:val="22"/>
    <w:qFormat/>
    <w:rsid w:val="00D07BE6"/>
    <w:rPr>
      <w:b/>
      <w:bCs/>
    </w:rPr>
  </w:style>
  <w:style w:type="paragraph" w:styleId="Textedebulles">
    <w:name w:val="Balloon Text"/>
    <w:basedOn w:val="Normal"/>
    <w:link w:val="TextedebullesCar"/>
    <w:uiPriority w:val="99"/>
    <w:semiHidden/>
    <w:unhideWhenUsed/>
    <w:rsid w:val="00D07BE6"/>
    <w:rPr>
      <w:rFonts w:ascii="Tahoma" w:hAnsi="Tahoma" w:cs="Tahoma"/>
      <w:sz w:val="16"/>
      <w:szCs w:val="16"/>
    </w:rPr>
  </w:style>
  <w:style w:type="character" w:customStyle="1" w:styleId="TextedebullesCar">
    <w:name w:val="Texte de bulles Car"/>
    <w:basedOn w:val="Policepardfaut"/>
    <w:link w:val="Textedebulles"/>
    <w:uiPriority w:val="99"/>
    <w:semiHidden/>
    <w:rsid w:val="00D07BE6"/>
    <w:rPr>
      <w:rFonts w:ascii="Tahoma" w:eastAsiaTheme="minorEastAsia" w:hAnsi="Tahoma" w:cs="Tahoma"/>
      <w:sz w:val="16"/>
      <w:szCs w:val="16"/>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E6"/>
    <w:pPr>
      <w:spacing w:after="0" w:line="240" w:lineRule="auto"/>
    </w:pPr>
    <w:rPr>
      <w:rFonts w:eastAsiaTheme="minorEastAsia"/>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D07BE6"/>
    <w:pPr>
      <w:spacing w:before="100" w:beforeAutospacing="1" w:after="100" w:afterAutospacing="1"/>
    </w:pPr>
    <w:rPr>
      <w:rFonts w:ascii="Times New Roman" w:eastAsia="Times New Roman" w:hAnsi="Times New Roman" w:cs="Times New Roman"/>
    </w:rPr>
  </w:style>
  <w:style w:type="paragraph" w:styleId="Paragraphedeliste">
    <w:name w:val="List Paragraph"/>
    <w:basedOn w:val="Normal"/>
    <w:uiPriority w:val="34"/>
    <w:qFormat/>
    <w:rsid w:val="00D07BE6"/>
    <w:pPr>
      <w:ind w:left="720"/>
      <w:contextualSpacing/>
    </w:pPr>
  </w:style>
  <w:style w:type="character" w:styleId="lev">
    <w:name w:val="Strong"/>
    <w:basedOn w:val="Policepardfaut"/>
    <w:uiPriority w:val="22"/>
    <w:qFormat/>
    <w:rsid w:val="00D07BE6"/>
    <w:rPr>
      <w:b/>
      <w:bCs/>
    </w:rPr>
  </w:style>
  <w:style w:type="paragraph" w:styleId="Textedebulles">
    <w:name w:val="Balloon Text"/>
    <w:basedOn w:val="Normal"/>
    <w:link w:val="TextedebullesCar"/>
    <w:uiPriority w:val="99"/>
    <w:semiHidden/>
    <w:unhideWhenUsed/>
    <w:rsid w:val="00D07BE6"/>
    <w:rPr>
      <w:rFonts w:ascii="Tahoma" w:hAnsi="Tahoma" w:cs="Tahoma"/>
      <w:sz w:val="16"/>
      <w:szCs w:val="16"/>
    </w:rPr>
  </w:style>
  <w:style w:type="character" w:customStyle="1" w:styleId="TextedebullesCar">
    <w:name w:val="Texte de bulles Car"/>
    <w:basedOn w:val="Policepardfaut"/>
    <w:link w:val="Textedebulles"/>
    <w:uiPriority w:val="99"/>
    <w:semiHidden/>
    <w:rsid w:val="00D07BE6"/>
    <w:rPr>
      <w:rFonts w:ascii="Tahoma" w:eastAsiaTheme="minorEastAsi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182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Pages>
  <Words>11341</Words>
  <Characters>62380</Characters>
  <Application>Microsoft Office Word</Application>
  <DocSecurity>0</DocSecurity>
  <Lines>519</Lines>
  <Paragraphs>147</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73574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cp:lastPrinted>2018-04-26T09:15:00Z</cp:lastPrinted>
  <dcterms:created xsi:type="dcterms:W3CDTF">2018-04-19T09:04:00Z</dcterms:created>
  <dcterms:modified xsi:type="dcterms:W3CDTF">2018-04-26T10:04:00Z</dcterms:modified>
</cp:coreProperties>
</file>