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DD2" w:rsidRDefault="00DD6DD2" w:rsidP="00DD6DD2">
      <w:pPr>
        <w:spacing w:line="240" w:lineRule="auto"/>
        <w:jc w:val="center"/>
        <w:rPr>
          <w:rFonts w:ascii="Monotype Corsiva" w:hAnsi="Monotype Corsiva"/>
          <w:b/>
          <w:bCs/>
          <w:i/>
          <w:iCs/>
          <w:szCs w:val="20"/>
        </w:rPr>
      </w:pPr>
      <w:r>
        <w:rPr>
          <w:rFonts w:ascii="Monotype Corsiva" w:hAnsi="Monotype Corsiva"/>
          <w:b/>
          <w:i/>
          <w:noProof/>
          <w:szCs w:val="20"/>
          <w:lang w:eastAsia="fr-FR"/>
        </w:rPr>
        <w:drawing>
          <wp:inline distT="0" distB="0" distL="0" distR="0" wp14:anchorId="515D901C" wp14:editId="0D6E545F">
            <wp:extent cx="1203463" cy="514785"/>
            <wp:effectExtent l="19050" t="0" r="0" b="0"/>
            <wp:docPr id="22" name="Image 132"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8" cstate="print"/>
                    <a:srcRect/>
                    <a:stretch>
                      <a:fillRect/>
                    </a:stretch>
                  </pic:blipFill>
                  <pic:spPr bwMode="auto">
                    <a:xfrm>
                      <a:off x="0" y="0"/>
                      <a:ext cx="1202446" cy="514350"/>
                    </a:xfrm>
                    <a:prstGeom prst="rect">
                      <a:avLst/>
                    </a:prstGeom>
                    <a:noFill/>
                    <a:ln w="9525">
                      <a:noFill/>
                      <a:miter lim="800000"/>
                      <a:headEnd/>
                      <a:tailEnd/>
                    </a:ln>
                  </pic:spPr>
                </pic:pic>
              </a:graphicData>
            </a:graphic>
          </wp:inline>
        </w:drawing>
      </w:r>
    </w:p>
    <w:p w:rsidR="00DD6DD2" w:rsidRDefault="00DD6DD2" w:rsidP="00DD6DD2">
      <w:pPr>
        <w:spacing w:line="240" w:lineRule="auto"/>
        <w:jc w:val="center"/>
        <w:rPr>
          <w:rFonts w:ascii="Times New Roman" w:hAnsi="Times New Roman"/>
          <w:bCs/>
          <w:iCs/>
          <w:sz w:val="14"/>
          <w:szCs w:val="20"/>
        </w:rPr>
      </w:pPr>
      <w:r>
        <w:rPr>
          <w:bCs/>
          <w:iCs/>
          <w:sz w:val="14"/>
          <w:szCs w:val="20"/>
        </w:rPr>
        <w:t>REPUBLIQUE DU SENEGAL</w:t>
      </w:r>
    </w:p>
    <w:p w:rsidR="00DD6DD2" w:rsidRDefault="00DD6DD2" w:rsidP="00DD6DD2">
      <w:pPr>
        <w:spacing w:line="240" w:lineRule="auto"/>
        <w:jc w:val="center"/>
        <w:rPr>
          <w:rFonts w:ascii="Monotype Corsiva" w:hAnsi="Monotype Corsiva"/>
          <w:b/>
          <w:bCs/>
          <w:i/>
          <w:iCs/>
          <w:szCs w:val="20"/>
        </w:rPr>
      </w:pPr>
      <w:r>
        <w:rPr>
          <w:rFonts w:ascii="Monotype Corsiva" w:hAnsi="Monotype Corsiva"/>
          <w:b/>
          <w:bCs/>
          <w:i/>
          <w:iCs/>
          <w:szCs w:val="20"/>
        </w:rPr>
        <w:t>Un Peuple – Un But – Une Foi</w:t>
      </w:r>
    </w:p>
    <w:p w:rsidR="00DD6DD2" w:rsidRDefault="00DD6DD2" w:rsidP="00DD6DD2">
      <w:pPr>
        <w:spacing w:line="240" w:lineRule="auto"/>
        <w:jc w:val="center"/>
        <w:rPr>
          <w:rFonts w:ascii="Bookman Old Style" w:hAnsi="Bookman Old Style"/>
          <w:b/>
          <w:bCs/>
          <w:sz w:val="20"/>
          <w:szCs w:val="20"/>
        </w:rPr>
      </w:pPr>
      <w:r>
        <w:rPr>
          <w:rFonts w:ascii="Bookman Old Style" w:hAnsi="Bookman Old Style"/>
          <w:b/>
          <w:bCs/>
          <w:sz w:val="20"/>
          <w:szCs w:val="20"/>
        </w:rPr>
        <w:t>MINISTERE DE LA JUSTICE</w:t>
      </w:r>
    </w:p>
    <w:p w:rsidR="00DD6DD2" w:rsidRDefault="00DD6DD2" w:rsidP="00DD6DD2">
      <w:pPr>
        <w:spacing w:line="240" w:lineRule="auto"/>
        <w:jc w:val="center"/>
        <w:rPr>
          <w:rFonts w:ascii="Eras Bold ITC" w:hAnsi="Eras Bold ITC"/>
          <w:b/>
          <w:bCs/>
          <w:sz w:val="16"/>
        </w:rPr>
      </w:pPr>
      <w:r w:rsidRPr="00672E1F">
        <w:rPr>
          <w:rFonts w:ascii="Eras Bold ITC" w:hAnsi="Eras Bold ITC"/>
          <w:b/>
          <w:bCs/>
          <w:sz w:val="16"/>
        </w:rPr>
        <w:t>COUR D’APPEL DE THIES</w:t>
      </w:r>
    </w:p>
    <w:p w:rsidR="00DD6DD2" w:rsidRDefault="00DD6DD2" w:rsidP="00DD6DD2">
      <w:pPr>
        <w:rPr>
          <w:rFonts w:ascii="Times New Roman" w:hAnsi="Times New Roman" w:cs="Times New Roman"/>
        </w:rPr>
      </w:pPr>
    </w:p>
    <w:p w:rsidR="00DD6DD2" w:rsidRDefault="00DD6DD2" w:rsidP="00DD6DD2">
      <w:pPr>
        <w:jc w:val="center"/>
        <w:rPr>
          <w:rFonts w:ascii="Times New Roman" w:hAnsi="Times New Roman" w:cs="Times New Roman"/>
          <w:b/>
          <w:i/>
        </w:rPr>
      </w:pPr>
    </w:p>
    <w:p w:rsidR="00DD6DD2" w:rsidRPr="00EF0034" w:rsidRDefault="00DD6DD2" w:rsidP="00DD6DD2">
      <w:pPr>
        <w:jc w:val="center"/>
        <w:rPr>
          <w:rFonts w:ascii="Times New Roman" w:hAnsi="Times New Roman" w:cs="Times New Roman"/>
          <w:b/>
          <w:i/>
        </w:rPr>
      </w:pPr>
      <w:r w:rsidRPr="00EF0034">
        <w:rPr>
          <w:rFonts w:ascii="Times New Roman" w:hAnsi="Times New Roman" w:cs="Times New Roman"/>
          <w:b/>
          <w:i/>
        </w:rPr>
        <w:t>SEMINAIRE SUR LES CHAMBRES CRIMINELLES</w:t>
      </w:r>
    </w:p>
    <w:p w:rsidR="00DD6DD2" w:rsidRPr="00DD6DD2" w:rsidRDefault="00DD6DD2" w:rsidP="00DD6DD2">
      <w:pPr>
        <w:spacing w:after="120"/>
        <w:jc w:val="center"/>
        <w:rPr>
          <w:rFonts w:ascii="Times New Roman" w:hAnsi="Times New Roman" w:cs="Times New Roman"/>
          <w:b/>
          <w:i/>
        </w:rPr>
      </w:pPr>
      <w:r w:rsidRPr="00DD6DD2">
        <w:rPr>
          <w:rFonts w:ascii="Times New Roman" w:hAnsi="Times New Roman" w:cs="Times New Roman"/>
          <w:b/>
          <w:i/>
        </w:rPr>
        <w:t>KAOLACK LE MARDI 13 FEVRIER 2018/ HOTEL LE RELAIS</w:t>
      </w:r>
    </w:p>
    <w:p w:rsidR="00DD6DD2" w:rsidRPr="00DD6DD2" w:rsidRDefault="00DD6DD2" w:rsidP="009B4935">
      <w:pPr>
        <w:ind w:firstLine="708"/>
        <w:rPr>
          <w:rFonts w:ascii="Times New Roman" w:hAnsi="Times New Roman" w:cs="Times New Roman"/>
          <w:b/>
          <w:sz w:val="24"/>
          <w:szCs w:val="24"/>
          <w:u w:val="single"/>
        </w:rPr>
      </w:pPr>
    </w:p>
    <w:p w:rsidR="009B4935" w:rsidRPr="009B4935" w:rsidRDefault="009B4935" w:rsidP="00DD6DD2">
      <w:pPr>
        <w:ind w:firstLine="708"/>
        <w:jc w:val="center"/>
        <w:rPr>
          <w:rFonts w:ascii="Times New Roman" w:hAnsi="Times New Roman" w:cs="Times New Roman"/>
          <w:b/>
          <w:sz w:val="24"/>
          <w:szCs w:val="24"/>
          <w:u w:val="single"/>
        </w:rPr>
      </w:pPr>
      <w:r w:rsidRPr="009B4935">
        <w:rPr>
          <w:rFonts w:ascii="Times New Roman" w:hAnsi="Times New Roman" w:cs="Times New Roman"/>
          <w:b/>
          <w:sz w:val="24"/>
          <w:szCs w:val="24"/>
          <w:u w:val="single"/>
        </w:rPr>
        <w:t>Rapport du séminaire sur les nullités en matière criminelle</w:t>
      </w:r>
    </w:p>
    <w:p w:rsidR="009B4935" w:rsidRDefault="009B4935" w:rsidP="009B4935">
      <w:pPr>
        <w:ind w:firstLine="708"/>
        <w:rPr>
          <w:rFonts w:ascii="Times New Roman" w:hAnsi="Times New Roman" w:cs="Times New Roman"/>
          <w:sz w:val="24"/>
          <w:szCs w:val="24"/>
        </w:rPr>
      </w:pPr>
    </w:p>
    <w:p w:rsidR="009B4935" w:rsidRPr="009B4935" w:rsidRDefault="009B4935" w:rsidP="009B4935">
      <w:pPr>
        <w:ind w:firstLine="708"/>
        <w:rPr>
          <w:rFonts w:ascii="Times New Roman" w:hAnsi="Times New Roman" w:cs="Times New Roman"/>
          <w:sz w:val="24"/>
          <w:szCs w:val="24"/>
        </w:rPr>
      </w:pPr>
      <w:r w:rsidRPr="009B4935">
        <w:rPr>
          <w:rFonts w:ascii="Times New Roman" w:hAnsi="Times New Roman" w:cs="Times New Roman"/>
          <w:sz w:val="24"/>
          <w:szCs w:val="24"/>
        </w:rPr>
        <w:t xml:space="preserve">L’an deux mille </w:t>
      </w:r>
      <w:proofErr w:type="spellStart"/>
      <w:r w:rsidRPr="009B4935">
        <w:rPr>
          <w:rFonts w:ascii="Times New Roman" w:hAnsi="Times New Roman" w:cs="Times New Roman"/>
          <w:sz w:val="24"/>
          <w:szCs w:val="24"/>
        </w:rPr>
        <w:t>dix huit</w:t>
      </w:r>
      <w:proofErr w:type="spellEnd"/>
      <w:r w:rsidRPr="009B4935">
        <w:rPr>
          <w:rFonts w:ascii="Times New Roman" w:hAnsi="Times New Roman" w:cs="Times New Roman"/>
          <w:sz w:val="24"/>
          <w:szCs w:val="24"/>
        </w:rPr>
        <w:t xml:space="preserve"> et le 13 du mois de février, s’est tenu à l’hôtel Le Relais un séminaire organisé par le Centre de Formation Judiciaire dans le cadre de ses activités de formation continue des magistrats. Ce séminaire portait sur les nullités devant les chambres criminelles. </w:t>
      </w:r>
    </w:p>
    <w:p w:rsidR="009B4935" w:rsidRPr="009B4935" w:rsidRDefault="009B4935" w:rsidP="009B4935">
      <w:pPr>
        <w:ind w:firstLine="708"/>
        <w:rPr>
          <w:rFonts w:ascii="Times New Roman" w:hAnsi="Times New Roman" w:cs="Times New Roman"/>
          <w:sz w:val="24"/>
          <w:szCs w:val="24"/>
        </w:rPr>
      </w:pPr>
      <w:r w:rsidRPr="009B4935">
        <w:rPr>
          <w:rFonts w:ascii="Times New Roman" w:hAnsi="Times New Roman" w:cs="Times New Roman"/>
          <w:sz w:val="24"/>
          <w:szCs w:val="24"/>
        </w:rPr>
        <w:t xml:space="preserve">La rencontre qui a enregistré la présence des magistrats des TGI du ressort de la Cour d’Appel de Kaolack,  a été présidée par Monsieur Ousmane KANE, Premier Président de ladite Juridiction et modérée par Monsieur Alpha </w:t>
      </w:r>
      <w:proofErr w:type="spellStart"/>
      <w:r w:rsidRPr="009B4935">
        <w:rPr>
          <w:rFonts w:ascii="Times New Roman" w:hAnsi="Times New Roman" w:cs="Times New Roman"/>
          <w:sz w:val="24"/>
          <w:szCs w:val="24"/>
        </w:rPr>
        <w:t>Osseynou</w:t>
      </w:r>
      <w:proofErr w:type="spellEnd"/>
      <w:r w:rsidRPr="009B4935">
        <w:rPr>
          <w:rFonts w:ascii="Times New Roman" w:hAnsi="Times New Roman" w:cs="Times New Roman"/>
          <w:sz w:val="24"/>
          <w:szCs w:val="24"/>
        </w:rPr>
        <w:t xml:space="preserve"> DIALLO, Procureur Général près ladite  Cour.</w:t>
      </w:r>
    </w:p>
    <w:p w:rsidR="009B4935" w:rsidRPr="009B4935" w:rsidRDefault="009B4935" w:rsidP="009B4935">
      <w:pPr>
        <w:ind w:firstLine="708"/>
        <w:rPr>
          <w:rFonts w:ascii="Times New Roman" w:hAnsi="Times New Roman" w:cs="Times New Roman"/>
          <w:sz w:val="24"/>
          <w:szCs w:val="24"/>
        </w:rPr>
      </w:pPr>
      <w:r w:rsidRPr="009B4935">
        <w:rPr>
          <w:rFonts w:ascii="Times New Roman" w:hAnsi="Times New Roman" w:cs="Times New Roman"/>
          <w:sz w:val="24"/>
          <w:szCs w:val="24"/>
        </w:rPr>
        <w:t xml:space="preserve">A l’entame, le Procureur Général a adressé ses vifs remerciements et félicitations à la Direction du centre de formation judiciaire pour avoir organisé un tel séminaire à point nommé en ce sens qu’il a estimé que la question des nullités devant les chambres criminelles constitue un problème sérieux auquel des solutions idoines doivent être apportées avant de donner la parole au Premier Président pour le discours d’ouverture. </w:t>
      </w:r>
    </w:p>
    <w:p w:rsidR="009B4935" w:rsidRDefault="009B4935" w:rsidP="009B4935">
      <w:pPr>
        <w:ind w:firstLine="708"/>
        <w:rPr>
          <w:rFonts w:ascii="Times New Roman" w:hAnsi="Times New Roman" w:cs="Times New Roman"/>
          <w:sz w:val="24"/>
          <w:szCs w:val="24"/>
        </w:rPr>
      </w:pPr>
      <w:r w:rsidRPr="009B4935">
        <w:rPr>
          <w:rFonts w:ascii="Times New Roman" w:hAnsi="Times New Roman" w:cs="Times New Roman"/>
          <w:sz w:val="24"/>
          <w:szCs w:val="24"/>
        </w:rPr>
        <w:t>Le Premier Président, Ousmane KANE, a axé son discours sur la gravité des conséquences qui découlent de l’annulation d’une procédure devant la chambre criminelle notamment de la perception que les victimes se font de la Justice et du peuple de façon générale au nom duquel celle-ci est rendue. Il a appelé les  magistrats à plus de responsabilité dans l’exercice de leurs fonctions respectives  tout en soulignant que l’omission de formalités prescrites par la loi entrainant l’annulation des procédures est constitutive de faute disciplinaire avant de déclarer ouverte la séance.</w:t>
      </w:r>
    </w:p>
    <w:p w:rsidR="00B653AD" w:rsidRDefault="00B653AD" w:rsidP="00B653AD">
      <w:pPr>
        <w:rPr>
          <w:rFonts w:ascii="Times New Roman" w:hAnsi="Times New Roman" w:cs="Times New Roman"/>
          <w:sz w:val="24"/>
          <w:szCs w:val="24"/>
        </w:rPr>
      </w:pPr>
      <w:r>
        <w:rPr>
          <w:rFonts w:ascii="Times New Roman" w:hAnsi="Times New Roman" w:cs="Times New Roman"/>
          <w:sz w:val="24"/>
          <w:szCs w:val="24"/>
        </w:rPr>
        <w:t xml:space="preserve">A la suite du Président, l’expert Cheikh DIAKHOUMPA a fait un exposé sur les nullités de procédure en matière criminelle ;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lastRenderedPageBreak/>
        <w:t xml:space="preserve">A l’entame de son intervention, il est revenu sur la genèse des nullités qui présentent des origines romaines avant d’en venir au régime sénégalais qui est dual en consacrant d’une part des nullités textuelles et d’autre part celles dites comminatoires ou substantielles avec un pouvoir d’appréciation du Juge.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Les nullités textuelles sont celles préétablies et prévues par des textes enlevant au juge tout pouvoir d’appréciation avec  comme conséquence l’annulation systématique. Pour la clarté de l’exposé, il a distingué les nullités textuelles  concernant la phase d’enquête ayant leur siège aux articles 51, 55, 55 ter et 57 du Code de procédure pénale   et celles relatives à la phase de l’instruction principalement par les articles 101 et 105 du même code.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S’agissant de la phase de l’enquête, il a insisté particulièrement sur le droit à un conseil dès l’interpellation, question définitivement </w:t>
      </w:r>
      <w:r w:rsidR="00B66C8E">
        <w:rPr>
          <w:rFonts w:ascii="Times New Roman" w:hAnsi="Times New Roman" w:cs="Times New Roman"/>
          <w:sz w:val="24"/>
          <w:szCs w:val="24"/>
        </w:rPr>
        <w:t xml:space="preserve"> réglée  </w:t>
      </w:r>
      <w:r>
        <w:rPr>
          <w:rFonts w:ascii="Times New Roman" w:hAnsi="Times New Roman" w:cs="Times New Roman"/>
          <w:sz w:val="24"/>
          <w:szCs w:val="24"/>
        </w:rPr>
        <w:t>par la r</w:t>
      </w:r>
      <w:r w:rsidR="0045678B">
        <w:rPr>
          <w:rFonts w:ascii="Times New Roman" w:hAnsi="Times New Roman" w:cs="Times New Roman"/>
          <w:sz w:val="24"/>
          <w:szCs w:val="24"/>
        </w:rPr>
        <w:t>éforme de 2016 et la circulaire</w:t>
      </w:r>
      <w:r>
        <w:rPr>
          <w:rFonts w:ascii="Times New Roman" w:hAnsi="Times New Roman" w:cs="Times New Roman"/>
          <w:sz w:val="24"/>
          <w:szCs w:val="24"/>
        </w:rPr>
        <w:t xml:space="preserve"> du Garde des Sceaux/Ministre de la justice. Il a rappelé également que le législateur pour préserver la vie privée des personnes sanctionne par la nullité toute perquisition effectué</w:t>
      </w:r>
      <w:r w:rsidR="0045678B">
        <w:rPr>
          <w:rFonts w:ascii="Times New Roman" w:hAnsi="Times New Roman" w:cs="Times New Roman"/>
          <w:sz w:val="24"/>
          <w:szCs w:val="24"/>
        </w:rPr>
        <w:t>e</w:t>
      </w:r>
      <w:r>
        <w:rPr>
          <w:rFonts w:ascii="Times New Roman" w:hAnsi="Times New Roman" w:cs="Times New Roman"/>
          <w:sz w:val="24"/>
          <w:szCs w:val="24"/>
        </w:rPr>
        <w:t xml:space="preserve"> sans recueillir au préalable le consentement de la personne concernée sauf</w:t>
      </w:r>
      <w:r w:rsidR="00B66C8E">
        <w:rPr>
          <w:rFonts w:ascii="Times New Roman" w:hAnsi="Times New Roman" w:cs="Times New Roman"/>
          <w:sz w:val="24"/>
          <w:szCs w:val="24"/>
        </w:rPr>
        <w:t>,</w:t>
      </w:r>
      <w:r>
        <w:rPr>
          <w:rFonts w:ascii="Times New Roman" w:hAnsi="Times New Roman" w:cs="Times New Roman"/>
          <w:sz w:val="24"/>
          <w:szCs w:val="24"/>
        </w:rPr>
        <w:t xml:space="preserve"> bien entendu</w:t>
      </w:r>
      <w:r w:rsidR="00B66C8E">
        <w:rPr>
          <w:rFonts w:ascii="Times New Roman" w:hAnsi="Times New Roman" w:cs="Times New Roman"/>
          <w:sz w:val="24"/>
          <w:szCs w:val="24"/>
        </w:rPr>
        <w:t>,</w:t>
      </w:r>
      <w:r>
        <w:rPr>
          <w:rFonts w:ascii="Times New Roman" w:hAnsi="Times New Roman" w:cs="Times New Roman"/>
          <w:sz w:val="24"/>
          <w:szCs w:val="24"/>
        </w:rPr>
        <w:t xml:space="preserve"> en cas d’enquête de flagrance.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Concernant, la phase de l’instruction, il est revenu largement sur les dispositions des articles 101 et 105 du Code de procédure pénale dont l</w:t>
      </w:r>
      <w:r w:rsidR="00B66C8E">
        <w:rPr>
          <w:rFonts w:ascii="Times New Roman" w:hAnsi="Times New Roman" w:cs="Times New Roman"/>
          <w:sz w:val="24"/>
          <w:szCs w:val="24"/>
        </w:rPr>
        <w:t>a violation est souvent invoquée</w:t>
      </w:r>
      <w:r>
        <w:rPr>
          <w:rFonts w:ascii="Times New Roman" w:hAnsi="Times New Roman" w:cs="Times New Roman"/>
          <w:sz w:val="24"/>
          <w:szCs w:val="24"/>
        </w:rPr>
        <w:t xml:space="preserve"> pour faire annuler des procédures de</w:t>
      </w:r>
      <w:r w:rsidR="0045678B">
        <w:rPr>
          <w:rFonts w:ascii="Times New Roman" w:hAnsi="Times New Roman" w:cs="Times New Roman"/>
          <w:sz w:val="24"/>
          <w:szCs w:val="24"/>
        </w:rPr>
        <w:t xml:space="preserve">vant la chambre criminelle. Il </w:t>
      </w:r>
      <w:r>
        <w:rPr>
          <w:rFonts w:ascii="Times New Roman" w:hAnsi="Times New Roman" w:cs="Times New Roman"/>
          <w:sz w:val="24"/>
          <w:szCs w:val="24"/>
        </w:rPr>
        <w:t>fa</w:t>
      </w:r>
      <w:r w:rsidR="0045678B">
        <w:rPr>
          <w:rFonts w:ascii="Times New Roman" w:hAnsi="Times New Roman" w:cs="Times New Roman"/>
          <w:sz w:val="24"/>
          <w:szCs w:val="24"/>
        </w:rPr>
        <w:t>u</w:t>
      </w:r>
      <w:r>
        <w:rPr>
          <w:rFonts w:ascii="Times New Roman" w:hAnsi="Times New Roman" w:cs="Times New Roman"/>
          <w:sz w:val="24"/>
          <w:szCs w:val="24"/>
        </w:rPr>
        <w:t>t noter sur ce point que la commission d’office d’un conseil doit être matérialisé</w:t>
      </w:r>
      <w:r w:rsidR="0045678B">
        <w:rPr>
          <w:rFonts w:ascii="Times New Roman" w:hAnsi="Times New Roman" w:cs="Times New Roman"/>
          <w:sz w:val="24"/>
          <w:szCs w:val="24"/>
        </w:rPr>
        <w:t>e</w:t>
      </w:r>
      <w:r>
        <w:rPr>
          <w:rFonts w:ascii="Times New Roman" w:hAnsi="Times New Roman" w:cs="Times New Roman"/>
          <w:sz w:val="24"/>
          <w:szCs w:val="24"/>
        </w:rPr>
        <w:t xml:space="preserve"> afin d’éviter toute contestation ultérieure et que le délai de 24 heures doit être également observé. Il a insisté sur les dispositions de l’article 105 notamment sur les conditions de la renonciation pour l’inculpé d’être interrogé ou confronté sans la présence de son conseil.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Abordant la question des nullités dites substantielles, là également il a procédé à la même di</w:t>
      </w:r>
      <w:r w:rsidR="00B66C8E">
        <w:rPr>
          <w:rFonts w:ascii="Times New Roman" w:hAnsi="Times New Roman" w:cs="Times New Roman"/>
          <w:sz w:val="24"/>
          <w:szCs w:val="24"/>
        </w:rPr>
        <w:t xml:space="preserve">stinction selon que l’on soit dans la </w:t>
      </w:r>
      <w:r>
        <w:rPr>
          <w:rFonts w:ascii="Times New Roman" w:hAnsi="Times New Roman" w:cs="Times New Roman"/>
          <w:sz w:val="24"/>
          <w:szCs w:val="24"/>
        </w:rPr>
        <w:t xml:space="preserve"> phase de l’enquête ou de l’instruction. Il a rappelé que les nullités substantielles font appel à deux notions dont les contours restent difficiles</w:t>
      </w:r>
      <w:r w:rsidR="00B66C8E">
        <w:rPr>
          <w:rFonts w:ascii="Times New Roman" w:hAnsi="Times New Roman" w:cs="Times New Roman"/>
          <w:sz w:val="24"/>
          <w:szCs w:val="24"/>
        </w:rPr>
        <w:t xml:space="preserve"> à circonscrire</w:t>
      </w:r>
      <w:r>
        <w:rPr>
          <w:rFonts w:ascii="Times New Roman" w:hAnsi="Times New Roman" w:cs="Times New Roman"/>
          <w:sz w:val="24"/>
          <w:szCs w:val="24"/>
        </w:rPr>
        <w:t xml:space="preserve">. Il s’agit de la notion d’ordre public et celle des droits de la défense. A ce niveau, il a fait appel au droit notamment français  qui, par la loi de 1975, en son article 802 du code de procédure pénale, a consacré la théorie du </w:t>
      </w:r>
      <w:r w:rsidR="0045678B">
        <w:rPr>
          <w:rFonts w:ascii="Times New Roman" w:hAnsi="Times New Roman" w:cs="Times New Roman"/>
          <w:sz w:val="24"/>
          <w:szCs w:val="24"/>
        </w:rPr>
        <w:t>« </w:t>
      </w:r>
      <w:r>
        <w:rPr>
          <w:rFonts w:ascii="Times New Roman" w:hAnsi="Times New Roman" w:cs="Times New Roman"/>
          <w:sz w:val="24"/>
          <w:szCs w:val="24"/>
        </w:rPr>
        <w:t>bâillonnement</w:t>
      </w:r>
      <w:r w:rsidR="0045678B">
        <w:rPr>
          <w:rFonts w:ascii="Times New Roman" w:hAnsi="Times New Roman" w:cs="Times New Roman"/>
          <w:sz w:val="24"/>
          <w:szCs w:val="24"/>
        </w:rPr>
        <w:t> »</w:t>
      </w:r>
      <w:r>
        <w:rPr>
          <w:rFonts w:ascii="Times New Roman" w:hAnsi="Times New Roman" w:cs="Times New Roman"/>
          <w:sz w:val="24"/>
          <w:szCs w:val="24"/>
        </w:rPr>
        <w:t xml:space="preserve"> des nullités conférant ainsi au Juge un pouvoir d’appréciation  en cas de nullité d’ordre public.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Entamant la deuxième partie de  son exposé qui est relative à la</w:t>
      </w:r>
      <w:r w:rsidR="00B66C8E">
        <w:rPr>
          <w:rFonts w:ascii="Times New Roman" w:hAnsi="Times New Roman" w:cs="Times New Roman"/>
          <w:sz w:val="24"/>
          <w:szCs w:val="24"/>
        </w:rPr>
        <w:t xml:space="preserve"> mise en œuvre des nullités, l’expert </w:t>
      </w:r>
      <w:r>
        <w:rPr>
          <w:rFonts w:ascii="Times New Roman" w:hAnsi="Times New Roman" w:cs="Times New Roman"/>
          <w:sz w:val="24"/>
          <w:szCs w:val="24"/>
        </w:rPr>
        <w:t xml:space="preserve">a fait état de la nécessaire sauvegarde par des techniques telles que la réparation, la réfaction ou la neutralisation avant de mettre en exergue le droit de critique.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Pour la réparation qui trouve son fondement légal au chapitre 10 du Titre 3 du Code de procédure pénale, l’expert a souligné que la renonciation à une nullité permet de régulariser la </w:t>
      </w:r>
      <w:r>
        <w:rPr>
          <w:rFonts w:ascii="Times New Roman" w:hAnsi="Times New Roman" w:cs="Times New Roman"/>
          <w:sz w:val="24"/>
          <w:szCs w:val="24"/>
        </w:rPr>
        <w:lastRenderedPageBreak/>
        <w:t>procédure. Cette renonciation doit c</w:t>
      </w:r>
      <w:r w:rsidR="00B66C8E">
        <w:rPr>
          <w:rFonts w:ascii="Times New Roman" w:hAnsi="Times New Roman" w:cs="Times New Roman"/>
          <w:sz w:val="24"/>
          <w:szCs w:val="24"/>
        </w:rPr>
        <w:t>ependant être expresse et émaner</w:t>
      </w:r>
      <w:r>
        <w:rPr>
          <w:rFonts w:ascii="Times New Roman" w:hAnsi="Times New Roman" w:cs="Times New Roman"/>
          <w:sz w:val="24"/>
          <w:szCs w:val="24"/>
        </w:rPr>
        <w:t xml:space="preserve"> de l’inculpé</w:t>
      </w:r>
      <w:r w:rsidR="00B66C8E">
        <w:rPr>
          <w:rFonts w:ascii="Times New Roman" w:hAnsi="Times New Roman" w:cs="Times New Roman"/>
          <w:sz w:val="24"/>
          <w:szCs w:val="24"/>
        </w:rPr>
        <w:t>,</w:t>
      </w:r>
      <w:r>
        <w:rPr>
          <w:rFonts w:ascii="Times New Roman" w:hAnsi="Times New Roman" w:cs="Times New Roman"/>
          <w:sz w:val="24"/>
          <w:szCs w:val="24"/>
        </w:rPr>
        <w:t xml:space="preserve"> en connaissance de cause et le procès-verbal constatant la renonciation signé du Juge, du greffier, de l’inculpé.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Relativement à la réfaction, </w:t>
      </w:r>
      <w:r w:rsidR="0045678B">
        <w:rPr>
          <w:rFonts w:ascii="Times New Roman" w:hAnsi="Times New Roman" w:cs="Times New Roman"/>
          <w:sz w:val="24"/>
          <w:szCs w:val="24"/>
        </w:rPr>
        <w:t>qui a</w:t>
      </w:r>
      <w:r>
        <w:rPr>
          <w:rFonts w:ascii="Times New Roman" w:hAnsi="Times New Roman" w:cs="Times New Roman"/>
          <w:sz w:val="24"/>
          <w:szCs w:val="24"/>
        </w:rPr>
        <w:t xml:space="preserve"> son siège à l’article 147 du code de procédure pénale, il a indiqué </w:t>
      </w:r>
      <w:r w:rsidR="00B66C8E">
        <w:rPr>
          <w:rFonts w:ascii="Times New Roman" w:hAnsi="Times New Roman" w:cs="Times New Roman"/>
          <w:sz w:val="24"/>
          <w:szCs w:val="24"/>
        </w:rPr>
        <w:t xml:space="preserve">qu’elle </w:t>
      </w:r>
      <w:r>
        <w:rPr>
          <w:rFonts w:ascii="Times New Roman" w:hAnsi="Times New Roman" w:cs="Times New Roman"/>
          <w:sz w:val="24"/>
          <w:szCs w:val="24"/>
        </w:rPr>
        <w:t>a pour domaine les délégations judiciaires</w:t>
      </w:r>
      <w:r w:rsidR="0045678B">
        <w:rPr>
          <w:rFonts w:ascii="Times New Roman" w:hAnsi="Times New Roman" w:cs="Times New Roman"/>
          <w:sz w:val="24"/>
          <w:szCs w:val="24"/>
        </w:rPr>
        <w:t xml:space="preserve">, en ce qui les concerne, </w:t>
      </w:r>
      <w:r>
        <w:rPr>
          <w:rFonts w:ascii="Times New Roman" w:hAnsi="Times New Roman" w:cs="Times New Roman"/>
          <w:sz w:val="24"/>
          <w:szCs w:val="24"/>
        </w:rPr>
        <w:t xml:space="preserve">le juge pourra refaire l’acte entaché d’irrégularité </w:t>
      </w:r>
      <w:r w:rsidR="0045678B">
        <w:rPr>
          <w:rFonts w:ascii="Times New Roman" w:hAnsi="Times New Roman" w:cs="Times New Roman"/>
          <w:sz w:val="24"/>
          <w:szCs w:val="24"/>
        </w:rPr>
        <w:t xml:space="preserve">mais </w:t>
      </w:r>
      <w:r w:rsidR="00B66C8E">
        <w:rPr>
          <w:rFonts w:ascii="Times New Roman" w:hAnsi="Times New Roman" w:cs="Times New Roman"/>
          <w:sz w:val="24"/>
          <w:szCs w:val="24"/>
        </w:rPr>
        <w:t>un</w:t>
      </w:r>
      <w:r>
        <w:rPr>
          <w:rFonts w:ascii="Times New Roman" w:hAnsi="Times New Roman" w:cs="Times New Roman"/>
          <w:sz w:val="24"/>
          <w:szCs w:val="24"/>
        </w:rPr>
        <w:t xml:space="preserve"> tel procédé suppose au préalable l’annulation de l’acte irrégulier.</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S’agissant de la neutralisation, il s’est </w:t>
      </w:r>
      <w:r w:rsidR="00B66C8E">
        <w:rPr>
          <w:rFonts w:ascii="Times New Roman" w:hAnsi="Times New Roman" w:cs="Times New Roman"/>
          <w:sz w:val="24"/>
          <w:szCs w:val="24"/>
        </w:rPr>
        <w:t>agi</w:t>
      </w:r>
      <w:r>
        <w:rPr>
          <w:rFonts w:ascii="Times New Roman" w:hAnsi="Times New Roman" w:cs="Times New Roman"/>
          <w:sz w:val="24"/>
          <w:szCs w:val="24"/>
        </w:rPr>
        <w:t xml:space="preserve"> pour lui de voir si les dispositions de l’article 557 du code de procédure pénale subsistent toujours malgré l</w:t>
      </w:r>
      <w:r w:rsidR="0045678B">
        <w:rPr>
          <w:rFonts w:ascii="Times New Roman" w:hAnsi="Times New Roman" w:cs="Times New Roman"/>
          <w:sz w:val="24"/>
          <w:szCs w:val="24"/>
        </w:rPr>
        <w:t>es</w:t>
      </w:r>
      <w:r>
        <w:rPr>
          <w:rFonts w:ascii="Times New Roman" w:hAnsi="Times New Roman" w:cs="Times New Roman"/>
          <w:sz w:val="24"/>
          <w:szCs w:val="24"/>
        </w:rPr>
        <w:t xml:space="preserve"> réforme</w:t>
      </w:r>
      <w:r w:rsidR="0045678B">
        <w:rPr>
          <w:rFonts w:ascii="Times New Roman" w:hAnsi="Times New Roman" w:cs="Times New Roman"/>
          <w:sz w:val="24"/>
          <w:szCs w:val="24"/>
        </w:rPr>
        <w:t>s</w:t>
      </w:r>
      <w:r>
        <w:rPr>
          <w:rFonts w:ascii="Times New Roman" w:hAnsi="Times New Roman" w:cs="Times New Roman"/>
          <w:sz w:val="24"/>
          <w:szCs w:val="24"/>
        </w:rPr>
        <w:t xml:space="preserve"> </w:t>
      </w:r>
      <w:r w:rsidR="0045678B">
        <w:rPr>
          <w:rFonts w:ascii="Times New Roman" w:hAnsi="Times New Roman" w:cs="Times New Roman"/>
          <w:sz w:val="24"/>
          <w:szCs w:val="24"/>
        </w:rPr>
        <w:t xml:space="preserve">de </w:t>
      </w:r>
      <w:r>
        <w:rPr>
          <w:rFonts w:ascii="Times New Roman" w:hAnsi="Times New Roman" w:cs="Times New Roman"/>
          <w:sz w:val="24"/>
          <w:szCs w:val="24"/>
        </w:rPr>
        <w:t xml:space="preserve">2014 et 2016 et qui conféraient un effet de purge des nullités à l’arrêt de renvoi de la chambre d’accusation.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Sur le second sous point relatif au droit de critique, il a d’abord </w:t>
      </w:r>
      <w:r w:rsidR="00B66C8E">
        <w:rPr>
          <w:rFonts w:ascii="Times New Roman" w:hAnsi="Times New Roman" w:cs="Times New Roman"/>
          <w:sz w:val="24"/>
          <w:szCs w:val="24"/>
        </w:rPr>
        <w:t>commencé</w:t>
      </w:r>
      <w:r>
        <w:rPr>
          <w:rFonts w:ascii="Times New Roman" w:hAnsi="Times New Roman" w:cs="Times New Roman"/>
          <w:sz w:val="24"/>
          <w:szCs w:val="24"/>
        </w:rPr>
        <w:t xml:space="preserve"> par identifier les titulaires de ce droit à savoir le juge d’instruction lui-même, le ministère public et les parties privées avant de décliner la procédure de saisine de la chambre d’accusation qui se fait par voie de requête. Ces différentes précisions faites, l’expert a remercié l’assistance avant de conclure.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Après l’exposé du Docteur DIAKHOUMPA, les Présidents des Tribunaux de grande instance de Kaolack, de Tambacounda et de Fatick ont respectivement pris la parole pour faire état des difficultés rencontrées dans la mise en œuvre du régime des nullités devant les chambres criminelles. Chacun en ce qui le concerne a exposé à l’assistance les solutions apportées à ces différents cas non sans citer des décisions adoptées par sa juridiction. Pour l’essentiel, ils ont indiqué que les exceptions de nullités sont souvent relatives au </w:t>
      </w:r>
      <w:r w:rsidR="00D757B0">
        <w:rPr>
          <w:rFonts w:ascii="Times New Roman" w:hAnsi="Times New Roman" w:cs="Times New Roman"/>
          <w:sz w:val="24"/>
          <w:szCs w:val="24"/>
        </w:rPr>
        <w:t>non-respect</w:t>
      </w:r>
      <w:r>
        <w:rPr>
          <w:rFonts w:ascii="Times New Roman" w:hAnsi="Times New Roman" w:cs="Times New Roman"/>
          <w:sz w:val="24"/>
          <w:szCs w:val="24"/>
        </w:rPr>
        <w:t xml:space="preserve"> des formalités prescrites par les articles 101 et 015 du Cod</w:t>
      </w:r>
      <w:r w:rsidR="00D757B0">
        <w:rPr>
          <w:rFonts w:ascii="Times New Roman" w:hAnsi="Times New Roman" w:cs="Times New Roman"/>
          <w:sz w:val="24"/>
          <w:szCs w:val="24"/>
        </w:rPr>
        <w:t xml:space="preserve">e de procédure pénale mais ont </w:t>
      </w:r>
      <w:r>
        <w:rPr>
          <w:rFonts w:ascii="Times New Roman" w:hAnsi="Times New Roman" w:cs="Times New Roman"/>
          <w:sz w:val="24"/>
          <w:szCs w:val="24"/>
        </w:rPr>
        <w:t xml:space="preserve"> cherché à couvrir de tels cas de nullité afin de sauvegarder l</w:t>
      </w:r>
      <w:r w:rsidR="00D757B0">
        <w:rPr>
          <w:rFonts w:ascii="Times New Roman" w:hAnsi="Times New Roman" w:cs="Times New Roman"/>
          <w:sz w:val="24"/>
          <w:szCs w:val="24"/>
        </w:rPr>
        <w:t xml:space="preserve">es procédures tout en indiquant </w:t>
      </w:r>
      <w:r>
        <w:rPr>
          <w:rFonts w:ascii="Times New Roman" w:hAnsi="Times New Roman" w:cs="Times New Roman"/>
          <w:sz w:val="24"/>
          <w:szCs w:val="24"/>
        </w:rPr>
        <w:t xml:space="preserve">que cela ne peut plus prospérer.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Par la suite, le modérateur a ouvert les débats et les participants ont soulevé diverses interrogations. Certains ont soutenu que pour régler les cas de nullités liés à l’article 101 du Code de procédure pénale, il faut impérativement </w:t>
      </w:r>
      <w:r w:rsidR="00D757B0">
        <w:rPr>
          <w:rFonts w:ascii="Times New Roman" w:hAnsi="Times New Roman" w:cs="Times New Roman"/>
          <w:sz w:val="24"/>
          <w:szCs w:val="24"/>
        </w:rPr>
        <w:t>donner</w:t>
      </w:r>
      <w:r>
        <w:rPr>
          <w:rFonts w:ascii="Times New Roman" w:hAnsi="Times New Roman" w:cs="Times New Roman"/>
          <w:sz w:val="24"/>
          <w:szCs w:val="24"/>
        </w:rPr>
        <w:t xml:space="preserve"> force et crédit aux inscriptions du Juge d’instruction relativement à la commission d’office et au délai d’attente de 24 heures pour autant que celui-ci ait agi sous la foi de son serment. Il a été également soulevé la question relative à la formule des avis mais aussi celle concernant les appels téléphoniques, moyens dont le magistrat</w:t>
      </w:r>
      <w:r w:rsidR="00D757B0">
        <w:rPr>
          <w:rFonts w:ascii="Times New Roman" w:hAnsi="Times New Roman" w:cs="Times New Roman"/>
          <w:sz w:val="24"/>
          <w:szCs w:val="24"/>
        </w:rPr>
        <w:t xml:space="preserve"> fait</w:t>
      </w:r>
      <w:r>
        <w:rPr>
          <w:rFonts w:ascii="Times New Roman" w:hAnsi="Times New Roman" w:cs="Times New Roman"/>
          <w:sz w:val="24"/>
          <w:szCs w:val="24"/>
        </w:rPr>
        <w:t xml:space="preserve"> usage pour aviser l’avoca</w:t>
      </w:r>
      <w:r w:rsidR="00D757B0">
        <w:rPr>
          <w:rFonts w:ascii="Times New Roman" w:hAnsi="Times New Roman" w:cs="Times New Roman"/>
          <w:sz w:val="24"/>
          <w:szCs w:val="24"/>
        </w:rPr>
        <w:t>t du mis en cause avant de souligner</w:t>
      </w:r>
      <w:r>
        <w:rPr>
          <w:rFonts w:ascii="Times New Roman" w:hAnsi="Times New Roman" w:cs="Times New Roman"/>
          <w:sz w:val="24"/>
          <w:szCs w:val="24"/>
        </w:rPr>
        <w:t xml:space="preserve"> aussi que les actes d’un juge bénéficient d’une présomption de régularité</w:t>
      </w:r>
      <w:r w:rsidR="00D757B0">
        <w:rPr>
          <w:rFonts w:ascii="Times New Roman" w:hAnsi="Times New Roman" w:cs="Times New Roman"/>
          <w:sz w:val="24"/>
          <w:szCs w:val="24"/>
        </w:rPr>
        <w:t xml:space="preserve">, pour autant qu’ils sont authentiques </w:t>
      </w:r>
      <w:r>
        <w:rPr>
          <w:rFonts w:ascii="Times New Roman" w:hAnsi="Times New Roman" w:cs="Times New Roman"/>
          <w:sz w:val="24"/>
          <w:szCs w:val="24"/>
        </w:rPr>
        <w:t xml:space="preserve"> et qu’il doit appartenir </w:t>
      </w:r>
      <w:r w:rsidR="00D757B0">
        <w:rPr>
          <w:rFonts w:ascii="Times New Roman" w:hAnsi="Times New Roman" w:cs="Times New Roman"/>
          <w:sz w:val="24"/>
          <w:szCs w:val="24"/>
        </w:rPr>
        <w:t xml:space="preserve">à ceux qui contestent </w:t>
      </w:r>
      <w:r>
        <w:rPr>
          <w:rFonts w:ascii="Times New Roman" w:hAnsi="Times New Roman" w:cs="Times New Roman"/>
          <w:sz w:val="24"/>
          <w:szCs w:val="24"/>
        </w:rPr>
        <w:t xml:space="preserve"> leur sincérité d’en rapporter la </w:t>
      </w:r>
      <w:r>
        <w:rPr>
          <w:rFonts w:ascii="Times New Roman" w:hAnsi="Times New Roman" w:cs="Times New Roman"/>
          <w:sz w:val="24"/>
          <w:szCs w:val="24"/>
        </w:rPr>
        <w:lastRenderedPageBreak/>
        <w:t>preuve par la voie de la procédure d’inscription</w:t>
      </w:r>
      <w:r w:rsidR="00D757B0">
        <w:rPr>
          <w:rFonts w:ascii="Times New Roman" w:hAnsi="Times New Roman" w:cs="Times New Roman"/>
          <w:sz w:val="24"/>
          <w:szCs w:val="24"/>
        </w:rPr>
        <w:t xml:space="preserve"> de faux</w:t>
      </w:r>
      <w:r>
        <w:rPr>
          <w:rFonts w:ascii="Times New Roman" w:hAnsi="Times New Roman" w:cs="Times New Roman"/>
          <w:sz w:val="24"/>
          <w:szCs w:val="24"/>
        </w:rPr>
        <w:t>. Les intervenants sont revenus également sur la lecture qu’il faut avoir de l’article 105 et pour la plupart</w:t>
      </w:r>
      <w:r w:rsidR="00D757B0">
        <w:rPr>
          <w:rFonts w:ascii="Times New Roman" w:hAnsi="Times New Roman" w:cs="Times New Roman"/>
          <w:sz w:val="24"/>
          <w:szCs w:val="24"/>
        </w:rPr>
        <w:t xml:space="preserve"> d’entre eux</w:t>
      </w:r>
      <w:r>
        <w:rPr>
          <w:rFonts w:ascii="Times New Roman" w:hAnsi="Times New Roman" w:cs="Times New Roman"/>
          <w:sz w:val="24"/>
          <w:szCs w:val="24"/>
        </w:rPr>
        <w:t xml:space="preserve"> les conditions édictées ne sont pas cumulatives.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D’autres intervenants ont particulièrement </w:t>
      </w:r>
      <w:r w:rsidR="00D757B0">
        <w:rPr>
          <w:rFonts w:ascii="Times New Roman" w:hAnsi="Times New Roman" w:cs="Times New Roman"/>
          <w:sz w:val="24"/>
          <w:szCs w:val="24"/>
        </w:rPr>
        <w:t xml:space="preserve">insisté </w:t>
      </w:r>
      <w:r>
        <w:rPr>
          <w:rFonts w:ascii="Times New Roman" w:hAnsi="Times New Roman" w:cs="Times New Roman"/>
          <w:sz w:val="24"/>
          <w:szCs w:val="24"/>
        </w:rPr>
        <w:t>sur les conséquences de l’annulation d</w:t>
      </w:r>
      <w:r w:rsidR="00D757B0">
        <w:rPr>
          <w:rFonts w:ascii="Times New Roman" w:hAnsi="Times New Roman" w:cs="Times New Roman"/>
          <w:sz w:val="24"/>
          <w:szCs w:val="24"/>
        </w:rPr>
        <w:t>’un acte de procédure et de l’</w:t>
      </w:r>
      <w:r>
        <w:rPr>
          <w:rFonts w:ascii="Times New Roman" w:hAnsi="Times New Roman" w:cs="Times New Roman"/>
          <w:sz w:val="24"/>
          <w:szCs w:val="24"/>
        </w:rPr>
        <w:t>étendue</w:t>
      </w:r>
      <w:r w:rsidR="00D757B0">
        <w:rPr>
          <w:rFonts w:ascii="Times New Roman" w:hAnsi="Times New Roman" w:cs="Times New Roman"/>
          <w:sz w:val="24"/>
          <w:szCs w:val="24"/>
        </w:rPr>
        <w:t xml:space="preserve"> de celle-ci</w:t>
      </w:r>
      <w:r>
        <w:rPr>
          <w:rFonts w:ascii="Times New Roman" w:hAnsi="Times New Roman" w:cs="Times New Roman"/>
          <w:sz w:val="24"/>
          <w:szCs w:val="24"/>
        </w:rPr>
        <w:t xml:space="preserve">. Certains ont défendu </w:t>
      </w:r>
      <w:r w:rsidR="00D757B0">
        <w:rPr>
          <w:rFonts w:ascii="Times New Roman" w:hAnsi="Times New Roman" w:cs="Times New Roman"/>
          <w:sz w:val="24"/>
          <w:szCs w:val="24"/>
        </w:rPr>
        <w:t xml:space="preserve">l’argument </w:t>
      </w:r>
      <w:r>
        <w:rPr>
          <w:rFonts w:ascii="Times New Roman" w:hAnsi="Times New Roman" w:cs="Times New Roman"/>
          <w:sz w:val="24"/>
          <w:szCs w:val="24"/>
        </w:rPr>
        <w:t>selon lequel  après annulation la personne libérée peut à nouveau être arrêtée si les faits qui lui sont reprochés ne sont pas encore prescrits. D’aucuns ont soutenu le contraire en se plaçant sur le terrain du respect des droits de la défense et des droits de l’homme</w:t>
      </w:r>
      <w:r w:rsidR="00D757B0">
        <w:rPr>
          <w:rFonts w:ascii="Times New Roman" w:hAnsi="Times New Roman" w:cs="Times New Roman"/>
          <w:sz w:val="24"/>
          <w:szCs w:val="24"/>
        </w:rPr>
        <w:t>,</w:t>
      </w:r>
      <w:r>
        <w:rPr>
          <w:rFonts w:ascii="Times New Roman" w:hAnsi="Times New Roman" w:cs="Times New Roman"/>
          <w:sz w:val="24"/>
          <w:szCs w:val="24"/>
        </w:rPr>
        <w:t xml:space="preserve"> ce, d’autant plus que la question du sort de la détention préventive avant annulation reste entière. Il a été souligné par certains intervenants du nécessaire respect des dispositions du code de procédure pénale en matière de garde à vue même si la procédure est initiée par les agents de la douane.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A ces diverses interpellations et interrogations, l’expert a apporté des réponses et fait observer que le juge d’instruction doit respecter le délai d’attente de 24 heures même s’il est confronté à des difficultés pratiques.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Par rapport aux conditions édictées par l’article 105, l’expert  a tranché le débat en estimant que celles-ci sont cumulatives. Quant</w:t>
      </w:r>
      <w:r w:rsidR="00D757B0">
        <w:rPr>
          <w:rFonts w:ascii="Times New Roman" w:hAnsi="Times New Roman" w:cs="Times New Roman"/>
          <w:sz w:val="24"/>
          <w:szCs w:val="24"/>
        </w:rPr>
        <w:t xml:space="preserve"> à l’étendue de l’annulation</w:t>
      </w:r>
      <w:r>
        <w:rPr>
          <w:rFonts w:ascii="Times New Roman" w:hAnsi="Times New Roman" w:cs="Times New Roman"/>
          <w:sz w:val="24"/>
          <w:szCs w:val="24"/>
        </w:rPr>
        <w:t>, il a renvoyé les participants aux dispositions de l’article 101 e</w:t>
      </w:r>
      <w:r w:rsidR="00D757B0">
        <w:rPr>
          <w:rFonts w:ascii="Times New Roman" w:hAnsi="Times New Roman" w:cs="Times New Roman"/>
          <w:sz w:val="24"/>
          <w:szCs w:val="24"/>
        </w:rPr>
        <w:t>n soulignant</w:t>
      </w:r>
      <w:r w:rsidR="001E7003">
        <w:rPr>
          <w:rFonts w:ascii="Times New Roman" w:hAnsi="Times New Roman" w:cs="Times New Roman"/>
          <w:sz w:val="24"/>
          <w:szCs w:val="24"/>
        </w:rPr>
        <w:t xml:space="preserve"> que</w:t>
      </w:r>
      <w:r w:rsidR="00D757B0">
        <w:rPr>
          <w:rFonts w:ascii="Times New Roman" w:hAnsi="Times New Roman" w:cs="Times New Roman"/>
          <w:sz w:val="24"/>
          <w:szCs w:val="24"/>
        </w:rPr>
        <w:t xml:space="preserve"> les nullités y prévues</w:t>
      </w:r>
      <w:r w:rsidR="001E7003">
        <w:rPr>
          <w:rFonts w:ascii="Times New Roman" w:hAnsi="Times New Roman" w:cs="Times New Roman"/>
          <w:sz w:val="24"/>
          <w:szCs w:val="24"/>
        </w:rPr>
        <w:t xml:space="preserve"> entach</w:t>
      </w:r>
      <w:r>
        <w:rPr>
          <w:rFonts w:ascii="Times New Roman" w:hAnsi="Times New Roman" w:cs="Times New Roman"/>
          <w:sz w:val="24"/>
          <w:szCs w:val="24"/>
        </w:rPr>
        <w:t>ent toute la procédure d’où la théorie de l’acte empoisonné. Il a également estimé que le procureur de la République est bien habilité à reprendre les poursuites en cas d’annulation d’une procédure a</w:t>
      </w:r>
      <w:bookmarkStart w:id="0" w:name="_GoBack"/>
      <w:bookmarkEnd w:id="0"/>
      <w:r>
        <w:rPr>
          <w:rFonts w:ascii="Times New Roman" w:hAnsi="Times New Roman" w:cs="Times New Roman"/>
          <w:sz w:val="24"/>
          <w:szCs w:val="24"/>
        </w:rPr>
        <w:t>ntérieure en faisant décerner un nouveau mandat de dépôt dès lors que les faits ne sont pas encore prescrits. Il s’est dit également être en phase avec la position du DACG selon l</w:t>
      </w:r>
      <w:r w:rsidR="00D757B0">
        <w:rPr>
          <w:rFonts w:ascii="Times New Roman" w:hAnsi="Times New Roman" w:cs="Times New Roman"/>
          <w:sz w:val="24"/>
          <w:szCs w:val="24"/>
        </w:rPr>
        <w:t>aquelle</w:t>
      </w:r>
      <w:r>
        <w:rPr>
          <w:rFonts w:ascii="Times New Roman" w:hAnsi="Times New Roman" w:cs="Times New Roman"/>
          <w:sz w:val="24"/>
          <w:szCs w:val="24"/>
        </w:rPr>
        <w:t xml:space="preserve"> il faut distinguer</w:t>
      </w:r>
      <w:r w:rsidR="00D757B0">
        <w:rPr>
          <w:rFonts w:ascii="Times New Roman" w:hAnsi="Times New Roman" w:cs="Times New Roman"/>
          <w:sz w:val="24"/>
          <w:szCs w:val="24"/>
        </w:rPr>
        <w:t>, dans la procédure douanière,</w:t>
      </w:r>
      <w:r>
        <w:rPr>
          <w:rFonts w:ascii="Times New Roman" w:hAnsi="Times New Roman" w:cs="Times New Roman"/>
          <w:sz w:val="24"/>
          <w:szCs w:val="24"/>
        </w:rPr>
        <w:t xml:space="preserve"> selon qu’il s’agit d’un procès-verbal de saisie ou d’audition. Si le premier ne peut être annulé qu’en se conformant à la législation douanière, pour le second</w:t>
      </w:r>
      <w:r w:rsidR="00D757B0">
        <w:rPr>
          <w:rFonts w:ascii="Times New Roman" w:hAnsi="Times New Roman" w:cs="Times New Roman"/>
          <w:sz w:val="24"/>
          <w:szCs w:val="24"/>
        </w:rPr>
        <w:t>,</w:t>
      </w:r>
      <w:r>
        <w:rPr>
          <w:rFonts w:ascii="Times New Roman" w:hAnsi="Times New Roman" w:cs="Times New Roman"/>
          <w:sz w:val="24"/>
          <w:szCs w:val="24"/>
        </w:rPr>
        <w:t xml:space="preserve"> par contre, il peut être annulé en se référant aux dispositions de droit commun. </w:t>
      </w:r>
    </w:p>
    <w:p w:rsidR="00B653AD" w:rsidRDefault="00B653AD" w:rsidP="00B653AD">
      <w:pPr>
        <w:ind w:firstLine="708"/>
        <w:rPr>
          <w:rFonts w:ascii="Times New Roman" w:hAnsi="Times New Roman" w:cs="Times New Roman"/>
          <w:sz w:val="24"/>
          <w:szCs w:val="24"/>
        </w:rPr>
      </w:pPr>
      <w:r>
        <w:rPr>
          <w:rFonts w:ascii="Times New Roman" w:hAnsi="Times New Roman" w:cs="Times New Roman"/>
          <w:sz w:val="24"/>
          <w:szCs w:val="24"/>
        </w:rPr>
        <w:t xml:space="preserve">A la suite de l’intervention de l’expert, </w:t>
      </w:r>
      <w:r w:rsidRPr="009B4935">
        <w:rPr>
          <w:rFonts w:ascii="Times New Roman" w:hAnsi="Times New Roman" w:cs="Times New Roman"/>
          <w:b/>
          <w:sz w:val="24"/>
          <w:szCs w:val="24"/>
        </w:rPr>
        <w:t>des recommandations</w:t>
      </w:r>
      <w:r>
        <w:rPr>
          <w:rFonts w:ascii="Times New Roman" w:hAnsi="Times New Roman" w:cs="Times New Roman"/>
          <w:sz w:val="24"/>
          <w:szCs w:val="24"/>
        </w:rPr>
        <w:t xml:space="preserve"> ont été faites et retenues par la séance. Il s’agit :</w:t>
      </w:r>
    </w:p>
    <w:p w:rsidR="00B653AD" w:rsidRDefault="00B653AD" w:rsidP="00B653AD">
      <w:pPr>
        <w:pStyle w:val="Paragraphedeliste"/>
        <w:numPr>
          <w:ilvl w:val="0"/>
          <w:numId w:val="1"/>
        </w:numPr>
        <w:rPr>
          <w:rFonts w:ascii="Times New Roman" w:hAnsi="Times New Roman" w:cs="Times New Roman"/>
          <w:sz w:val="24"/>
          <w:szCs w:val="24"/>
        </w:rPr>
      </w:pPr>
      <w:r>
        <w:rPr>
          <w:rFonts w:ascii="Times New Roman" w:hAnsi="Times New Roman" w:cs="Times New Roman"/>
          <w:sz w:val="24"/>
          <w:szCs w:val="24"/>
        </w:rPr>
        <w:t>Assortir du délai de 24 heures prévu par l’article 101 d’un retour de parquet.</w:t>
      </w:r>
    </w:p>
    <w:p w:rsidR="00B653AD" w:rsidRDefault="00B653AD" w:rsidP="00B653AD">
      <w:pPr>
        <w:pStyle w:val="Paragraphedeliste"/>
        <w:numPr>
          <w:ilvl w:val="0"/>
          <w:numId w:val="1"/>
        </w:numPr>
        <w:rPr>
          <w:rFonts w:ascii="Times New Roman" w:hAnsi="Times New Roman" w:cs="Times New Roman"/>
          <w:sz w:val="24"/>
          <w:szCs w:val="24"/>
        </w:rPr>
      </w:pPr>
      <w:r>
        <w:rPr>
          <w:rFonts w:ascii="Times New Roman" w:hAnsi="Times New Roman" w:cs="Times New Roman"/>
          <w:sz w:val="24"/>
          <w:szCs w:val="24"/>
        </w:rPr>
        <w:t xml:space="preserve">Réécrire les dispositions de l’article 169 du code de procédure pénale en prévoyant un délai de deux mois, après les avis de clôture de l’information, délai pendant lequel les parties seront dans l’obligation de soumettre à la chambre d’accusation tous les cas de nullité. </w:t>
      </w:r>
    </w:p>
    <w:p w:rsidR="00B653AD" w:rsidRDefault="00B653AD" w:rsidP="00B653AD">
      <w:pPr>
        <w:pStyle w:val="Paragraphedeliste"/>
        <w:numPr>
          <w:ilvl w:val="0"/>
          <w:numId w:val="1"/>
        </w:numPr>
        <w:rPr>
          <w:rFonts w:ascii="Times New Roman" w:hAnsi="Times New Roman" w:cs="Times New Roman"/>
          <w:sz w:val="24"/>
          <w:szCs w:val="24"/>
        </w:rPr>
      </w:pPr>
      <w:r>
        <w:rPr>
          <w:rFonts w:ascii="Times New Roman" w:hAnsi="Times New Roman" w:cs="Times New Roman"/>
          <w:sz w:val="24"/>
          <w:szCs w:val="24"/>
        </w:rPr>
        <w:t>Intégrer la voie téléphonique comme un moyen de notification  en réécrivant l’alinéa 5 de l’article 101 du code de procédure pénale.</w:t>
      </w:r>
    </w:p>
    <w:p w:rsidR="00B653AD" w:rsidRDefault="00B653AD" w:rsidP="00B653AD">
      <w:pPr>
        <w:pStyle w:val="Paragraphedeliste"/>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Permettre au Juge d’instruction de procéder à l’inculpation sans avoir à observer le délai d’attente de 24 heures lorsque le conseil du mis en cause</w:t>
      </w:r>
      <w:r w:rsidR="009825DD">
        <w:rPr>
          <w:rFonts w:ascii="Times New Roman" w:hAnsi="Times New Roman" w:cs="Times New Roman"/>
          <w:sz w:val="24"/>
          <w:szCs w:val="24"/>
        </w:rPr>
        <w:t>,</w:t>
      </w:r>
      <w:r>
        <w:rPr>
          <w:rFonts w:ascii="Times New Roman" w:hAnsi="Times New Roman" w:cs="Times New Roman"/>
          <w:sz w:val="24"/>
          <w:szCs w:val="24"/>
        </w:rPr>
        <w:t xml:space="preserve"> avisé</w:t>
      </w:r>
      <w:r w:rsidR="009825DD">
        <w:rPr>
          <w:rFonts w:ascii="Times New Roman" w:hAnsi="Times New Roman" w:cs="Times New Roman"/>
          <w:sz w:val="24"/>
          <w:szCs w:val="24"/>
        </w:rPr>
        <w:t xml:space="preserve">, dit ne </w:t>
      </w:r>
      <w:r>
        <w:rPr>
          <w:rFonts w:ascii="Times New Roman" w:hAnsi="Times New Roman" w:cs="Times New Roman"/>
          <w:sz w:val="24"/>
          <w:szCs w:val="24"/>
        </w:rPr>
        <w:t xml:space="preserve">pouvoir se présenter dans ledit délai. </w:t>
      </w:r>
    </w:p>
    <w:p w:rsidR="00B653AD" w:rsidRPr="00F304B0" w:rsidRDefault="00B653AD" w:rsidP="00B653AD">
      <w:pPr>
        <w:rPr>
          <w:rFonts w:ascii="Times New Roman" w:hAnsi="Times New Roman" w:cs="Times New Roman"/>
          <w:sz w:val="24"/>
          <w:szCs w:val="24"/>
        </w:rPr>
      </w:pPr>
      <w:r>
        <w:rPr>
          <w:rFonts w:ascii="Times New Roman" w:hAnsi="Times New Roman" w:cs="Times New Roman"/>
          <w:sz w:val="24"/>
          <w:szCs w:val="24"/>
        </w:rPr>
        <w:t>14 heur</w:t>
      </w:r>
      <w:r w:rsidR="009B4935">
        <w:rPr>
          <w:rFonts w:ascii="Times New Roman" w:hAnsi="Times New Roman" w:cs="Times New Roman"/>
          <w:sz w:val="24"/>
          <w:szCs w:val="24"/>
        </w:rPr>
        <w:t>e</w:t>
      </w:r>
      <w:r>
        <w:rPr>
          <w:rFonts w:ascii="Times New Roman" w:hAnsi="Times New Roman" w:cs="Times New Roman"/>
          <w:sz w:val="24"/>
          <w:szCs w:val="24"/>
        </w:rPr>
        <w:t>s passées</w:t>
      </w:r>
      <w:r w:rsidR="009825DD">
        <w:rPr>
          <w:rFonts w:ascii="Times New Roman" w:hAnsi="Times New Roman" w:cs="Times New Roman"/>
          <w:sz w:val="24"/>
          <w:szCs w:val="24"/>
        </w:rPr>
        <w:t xml:space="preserve"> de quelques minutes, </w:t>
      </w:r>
      <w:r w:rsidR="009B4935">
        <w:rPr>
          <w:rFonts w:ascii="Times New Roman" w:hAnsi="Times New Roman" w:cs="Times New Roman"/>
          <w:sz w:val="24"/>
          <w:szCs w:val="24"/>
        </w:rPr>
        <w:t>l</w:t>
      </w:r>
      <w:r w:rsidR="009825DD">
        <w:rPr>
          <w:rFonts w:ascii="Times New Roman" w:hAnsi="Times New Roman" w:cs="Times New Roman"/>
          <w:sz w:val="24"/>
          <w:szCs w:val="24"/>
        </w:rPr>
        <w:t>es travaux ont été clôturés</w:t>
      </w:r>
      <w:r>
        <w:rPr>
          <w:rFonts w:ascii="Times New Roman" w:hAnsi="Times New Roman" w:cs="Times New Roman"/>
          <w:sz w:val="24"/>
          <w:szCs w:val="24"/>
        </w:rPr>
        <w:t xml:space="preserve"> par le Premier Président de la Cour d’appel, qui après remerciements, a levé la séance. </w:t>
      </w:r>
    </w:p>
    <w:p w:rsidR="00C27B8B" w:rsidRDefault="00C27B8B"/>
    <w:sectPr w:rsidR="00C27B8B" w:rsidSect="00C27B8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089" w:rsidRDefault="00053089" w:rsidP="00DD6DD2">
      <w:pPr>
        <w:spacing w:line="240" w:lineRule="auto"/>
      </w:pPr>
      <w:r>
        <w:separator/>
      </w:r>
    </w:p>
  </w:endnote>
  <w:endnote w:type="continuationSeparator" w:id="0">
    <w:p w:rsidR="00053089" w:rsidRDefault="00053089" w:rsidP="00DD6D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Eras Bold ITC">
    <w:panose1 w:val="020B0907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024216"/>
      <w:docPartObj>
        <w:docPartGallery w:val="Page Numbers (Bottom of Page)"/>
        <w:docPartUnique/>
      </w:docPartObj>
    </w:sdtPr>
    <w:sdtEndPr/>
    <w:sdtContent>
      <w:p w:rsidR="00DD6DD2" w:rsidRDefault="00DD6DD2">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DD6DD2" w:rsidRDefault="00DD6DD2">
                              <w:pPr>
                                <w:jc w:val="center"/>
                              </w:pPr>
                              <w:r>
                                <w:fldChar w:fldCharType="begin"/>
                              </w:r>
                              <w:r>
                                <w:instrText>PAGE    \* MERGEFORMAT</w:instrText>
                              </w:r>
                              <w:r>
                                <w:fldChar w:fldCharType="separate"/>
                              </w:r>
                              <w:r w:rsidR="001E7003" w:rsidRPr="001E7003">
                                <w:rPr>
                                  <w:noProof/>
                                  <w:sz w:val="16"/>
                                  <w:szCs w:val="16"/>
                                </w:rPr>
                                <w:t>5</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6" type="#_x0000_t65" style="position:absolute;left:0;text-align:left;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" o:allowincell="f" adj="14135" strokecolor="gray" strokeweight=".25pt">
                  <v:textbox>
                    <w:txbxContent>
                      <w:p w:rsidR="00DD6DD2" w:rsidRDefault="00DD6DD2">
                        <w:pPr>
                          <w:jc w:val="center"/>
                        </w:pPr>
                        <w:r>
                          <w:fldChar w:fldCharType="begin"/>
                        </w:r>
                        <w:r>
                          <w:instrText>PAGE    \* MERGEFORMAT</w:instrText>
                        </w:r>
                        <w:r>
                          <w:fldChar w:fldCharType="separate"/>
                        </w:r>
                        <w:r w:rsidR="001E7003" w:rsidRPr="001E7003">
                          <w:rPr>
                            <w:noProof/>
                            <w:sz w:val="16"/>
                            <w:szCs w:val="16"/>
                          </w:rPr>
                          <w:t>5</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089" w:rsidRDefault="00053089" w:rsidP="00DD6DD2">
      <w:pPr>
        <w:spacing w:line="240" w:lineRule="auto"/>
      </w:pPr>
      <w:r>
        <w:separator/>
      </w:r>
    </w:p>
  </w:footnote>
  <w:footnote w:type="continuationSeparator" w:id="0">
    <w:p w:rsidR="00053089" w:rsidRDefault="00053089" w:rsidP="00DD6DD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5429B"/>
    <w:multiLevelType w:val="hybridMultilevel"/>
    <w:tmpl w:val="DEE6B47E"/>
    <w:lvl w:ilvl="0" w:tplc="B1F81DDC">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3AD"/>
    <w:rsid w:val="00053089"/>
    <w:rsid w:val="00174A04"/>
    <w:rsid w:val="001E7003"/>
    <w:rsid w:val="0045678B"/>
    <w:rsid w:val="005D01F7"/>
    <w:rsid w:val="009825DD"/>
    <w:rsid w:val="009B4935"/>
    <w:rsid w:val="009E40A8"/>
    <w:rsid w:val="00AD35BB"/>
    <w:rsid w:val="00B653AD"/>
    <w:rsid w:val="00B66C8E"/>
    <w:rsid w:val="00C27B8B"/>
    <w:rsid w:val="00D757B0"/>
    <w:rsid w:val="00DD6DD2"/>
    <w:rsid w:val="00E01A49"/>
    <w:rsid w:val="00EB72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A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653AD"/>
    <w:pPr>
      <w:ind w:left="720"/>
      <w:contextualSpacing/>
    </w:pPr>
  </w:style>
  <w:style w:type="paragraph" w:styleId="Textedebulles">
    <w:name w:val="Balloon Text"/>
    <w:basedOn w:val="Normal"/>
    <w:link w:val="TextedebullesCar"/>
    <w:uiPriority w:val="99"/>
    <w:semiHidden/>
    <w:unhideWhenUsed/>
    <w:rsid w:val="00DD6DD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D6DD2"/>
    <w:rPr>
      <w:rFonts w:ascii="Tahoma" w:hAnsi="Tahoma" w:cs="Tahoma"/>
      <w:sz w:val="16"/>
      <w:szCs w:val="16"/>
    </w:rPr>
  </w:style>
  <w:style w:type="paragraph" w:styleId="En-tte">
    <w:name w:val="header"/>
    <w:basedOn w:val="Normal"/>
    <w:link w:val="En-tteCar"/>
    <w:uiPriority w:val="99"/>
    <w:unhideWhenUsed/>
    <w:rsid w:val="00DD6DD2"/>
    <w:pPr>
      <w:tabs>
        <w:tab w:val="center" w:pos="4536"/>
        <w:tab w:val="right" w:pos="9072"/>
      </w:tabs>
      <w:spacing w:line="240" w:lineRule="auto"/>
    </w:pPr>
  </w:style>
  <w:style w:type="character" w:customStyle="1" w:styleId="En-tteCar">
    <w:name w:val="En-tête Car"/>
    <w:basedOn w:val="Policepardfaut"/>
    <w:link w:val="En-tte"/>
    <w:uiPriority w:val="99"/>
    <w:rsid w:val="00DD6DD2"/>
  </w:style>
  <w:style w:type="paragraph" w:styleId="Pieddepage">
    <w:name w:val="footer"/>
    <w:basedOn w:val="Normal"/>
    <w:link w:val="PieddepageCar"/>
    <w:uiPriority w:val="99"/>
    <w:unhideWhenUsed/>
    <w:rsid w:val="00DD6DD2"/>
    <w:pPr>
      <w:tabs>
        <w:tab w:val="center" w:pos="4536"/>
        <w:tab w:val="right" w:pos="9072"/>
      </w:tabs>
      <w:spacing w:line="240" w:lineRule="auto"/>
    </w:pPr>
  </w:style>
  <w:style w:type="character" w:customStyle="1" w:styleId="PieddepageCar">
    <w:name w:val="Pied de page Car"/>
    <w:basedOn w:val="Policepardfaut"/>
    <w:link w:val="Pieddepage"/>
    <w:uiPriority w:val="99"/>
    <w:rsid w:val="00DD6D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A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653AD"/>
    <w:pPr>
      <w:ind w:left="720"/>
      <w:contextualSpacing/>
    </w:pPr>
  </w:style>
  <w:style w:type="paragraph" w:styleId="Textedebulles">
    <w:name w:val="Balloon Text"/>
    <w:basedOn w:val="Normal"/>
    <w:link w:val="TextedebullesCar"/>
    <w:uiPriority w:val="99"/>
    <w:semiHidden/>
    <w:unhideWhenUsed/>
    <w:rsid w:val="00DD6DD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D6DD2"/>
    <w:rPr>
      <w:rFonts w:ascii="Tahoma" w:hAnsi="Tahoma" w:cs="Tahoma"/>
      <w:sz w:val="16"/>
      <w:szCs w:val="16"/>
    </w:rPr>
  </w:style>
  <w:style w:type="paragraph" w:styleId="En-tte">
    <w:name w:val="header"/>
    <w:basedOn w:val="Normal"/>
    <w:link w:val="En-tteCar"/>
    <w:uiPriority w:val="99"/>
    <w:unhideWhenUsed/>
    <w:rsid w:val="00DD6DD2"/>
    <w:pPr>
      <w:tabs>
        <w:tab w:val="center" w:pos="4536"/>
        <w:tab w:val="right" w:pos="9072"/>
      </w:tabs>
      <w:spacing w:line="240" w:lineRule="auto"/>
    </w:pPr>
  </w:style>
  <w:style w:type="character" w:customStyle="1" w:styleId="En-tteCar">
    <w:name w:val="En-tête Car"/>
    <w:basedOn w:val="Policepardfaut"/>
    <w:link w:val="En-tte"/>
    <w:uiPriority w:val="99"/>
    <w:rsid w:val="00DD6DD2"/>
  </w:style>
  <w:style w:type="paragraph" w:styleId="Pieddepage">
    <w:name w:val="footer"/>
    <w:basedOn w:val="Normal"/>
    <w:link w:val="PieddepageCar"/>
    <w:uiPriority w:val="99"/>
    <w:unhideWhenUsed/>
    <w:rsid w:val="00DD6DD2"/>
    <w:pPr>
      <w:tabs>
        <w:tab w:val="center" w:pos="4536"/>
        <w:tab w:val="right" w:pos="9072"/>
      </w:tabs>
      <w:spacing w:line="240" w:lineRule="auto"/>
    </w:pPr>
  </w:style>
  <w:style w:type="character" w:customStyle="1" w:styleId="PieddepageCar">
    <w:name w:val="Pied de page Car"/>
    <w:basedOn w:val="Policepardfaut"/>
    <w:link w:val="Pieddepage"/>
    <w:uiPriority w:val="99"/>
    <w:rsid w:val="00DD6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1663</Words>
  <Characters>9149</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User</cp:lastModifiedBy>
  <cp:revision>4</cp:revision>
  <cp:lastPrinted>2018-03-06T10:00:00Z</cp:lastPrinted>
  <dcterms:created xsi:type="dcterms:W3CDTF">2018-03-06T10:01:00Z</dcterms:created>
  <dcterms:modified xsi:type="dcterms:W3CDTF">2018-03-06T15:20:00Z</dcterms:modified>
</cp:coreProperties>
</file>