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A90" w:rsidRPr="000C7A28" w:rsidRDefault="008A7A90" w:rsidP="008A7A90">
      <w:pPr>
        <w:jc w:val="center"/>
        <w:rPr>
          <w:rFonts w:ascii="Lucida Fax" w:hAnsi="Lucida Fax" w:cs="CordiaUPC"/>
          <w:b/>
          <w:szCs w:val="23"/>
        </w:rPr>
      </w:pPr>
      <w:r w:rsidRPr="000C7A28">
        <w:rPr>
          <w:rFonts w:ascii="Lucida Fax" w:hAnsi="Lucida Fax" w:cs="CordiaUPC"/>
          <w:b/>
          <w:i/>
          <w:noProof/>
          <w:sz w:val="18"/>
          <w:szCs w:val="16"/>
        </w:rPr>
        <w:drawing>
          <wp:anchor distT="36576" distB="36576" distL="36576" distR="36576" simplePos="0" relativeHeight="251660288" behindDoc="0" locked="0" layoutInCell="1" allowOverlap="1">
            <wp:simplePos x="0" y="0"/>
            <wp:positionH relativeFrom="column">
              <wp:posOffset>2243455</wp:posOffset>
            </wp:positionH>
            <wp:positionV relativeFrom="paragraph">
              <wp:posOffset>-258445</wp:posOffset>
            </wp:positionV>
            <wp:extent cx="1209675" cy="584200"/>
            <wp:effectExtent l="19050" t="0" r="9525" b="0"/>
            <wp:wrapTopAndBottom/>
            <wp:docPr id="2" name="Image 10" descr="drapeau_sen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drapeau_senegal"/>
                    <pic:cNvPicPr>
                      <a:picLocks noChangeAspect="1" noChangeArrowheads="1"/>
                    </pic:cNvPicPr>
                  </pic:nvPicPr>
                  <pic:blipFill>
                    <a:blip r:embed="rId7" cstate="print"/>
                    <a:srcRect/>
                    <a:stretch>
                      <a:fillRect/>
                    </a:stretch>
                  </pic:blipFill>
                  <pic:spPr bwMode="auto">
                    <a:xfrm>
                      <a:off x="0" y="0"/>
                      <a:ext cx="1209675" cy="584200"/>
                    </a:xfrm>
                    <a:prstGeom prst="rect">
                      <a:avLst/>
                    </a:prstGeom>
                    <a:noFill/>
                    <a:ln w="9525" algn="in">
                      <a:noFill/>
                      <a:miter lim="800000"/>
                      <a:headEnd/>
                      <a:tailEnd/>
                    </a:ln>
                  </pic:spPr>
                </pic:pic>
              </a:graphicData>
            </a:graphic>
          </wp:anchor>
        </w:drawing>
      </w:r>
      <w:r w:rsidRPr="000C7A28">
        <w:rPr>
          <w:rFonts w:ascii="Lucida Fax" w:hAnsi="Lucida Fax" w:cs="CordiaUPC"/>
          <w:b/>
          <w:szCs w:val="23"/>
        </w:rPr>
        <w:t>RÉPUBLIQUE DU SÉNÉGAL</w:t>
      </w:r>
    </w:p>
    <w:p w:rsidR="008A7A90" w:rsidRPr="000C7A28" w:rsidRDefault="008A7A90" w:rsidP="008A7A90">
      <w:pPr>
        <w:tabs>
          <w:tab w:val="left" w:pos="196"/>
        </w:tabs>
        <w:jc w:val="center"/>
        <w:rPr>
          <w:rFonts w:ascii="Lucida Fax" w:hAnsi="Lucida Fax" w:cs="CordiaUPC"/>
          <w:b/>
          <w:i/>
          <w:sz w:val="18"/>
          <w:szCs w:val="16"/>
        </w:rPr>
      </w:pPr>
      <w:r w:rsidRPr="000C7A28">
        <w:rPr>
          <w:rFonts w:ascii="Lucida Fax" w:hAnsi="Lucida Fax" w:cs="CordiaUPC"/>
          <w:b/>
          <w:i/>
          <w:sz w:val="18"/>
          <w:szCs w:val="16"/>
        </w:rPr>
        <w:t>Un Peuple – Un But – Une Foi</w:t>
      </w:r>
    </w:p>
    <w:p w:rsidR="008A7A90" w:rsidRPr="000C7A28" w:rsidRDefault="008A7A90" w:rsidP="008A7A90">
      <w:pPr>
        <w:spacing w:line="360" w:lineRule="auto"/>
        <w:jc w:val="center"/>
        <w:rPr>
          <w:rFonts w:ascii="Lucida Fax" w:hAnsi="Lucida Fax" w:cs="CordiaUPC"/>
          <w:b/>
          <w:szCs w:val="23"/>
        </w:rPr>
      </w:pPr>
      <w:r w:rsidRPr="000C7A28">
        <w:rPr>
          <w:rFonts w:ascii="Lucida Fax" w:hAnsi="Lucida Fax" w:cs="CordiaUPC"/>
          <w:b/>
          <w:szCs w:val="23"/>
        </w:rPr>
        <w:t>MINISTÉRE DE LA JUSTICE</w:t>
      </w:r>
    </w:p>
    <w:p w:rsidR="008A7A90" w:rsidRPr="00983CA6" w:rsidRDefault="008A7A90" w:rsidP="008A7A90">
      <w:pPr>
        <w:spacing w:line="360" w:lineRule="auto"/>
        <w:ind w:left="2832" w:firstLine="708"/>
        <w:rPr>
          <w:sz w:val="40"/>
          <w:szCs w:val="36"/>
        </w:rPr>
      </w:pPr>
      <w:r w:rsidRPr="00983CA6">
        <w:rPr>
          <w:b/>
          <w:sz w:val="28"/>
          <w:szCs w:val="23"/>
        </w:rPr>
        <w:t xml:space="preserve">         ----------</w:t>
      </w:r>
    </w:p>
    <w:p w:rsidR="008A7A90" w:rsidRDefault="008A7A90" w:rsidP="008A7A90">
      <w:pPr>
        <w:jc w:val="center"/>
      </w:pPr>
      <w:r>
        <w:rPr>
          <w:noProof/>
        </w:rPr>
        <w:drawing>
          <wp:anchor distT="0" distB="0" distL="114300" distR="114300" simplePos="0" relativeHeight="251661312" behindDoc="0" locked="0" layoutInCell="1" allowOverlap="1">
            <wp:simplePos x="0" y="0"/>
            <wp:positionH relativeFrom="column">
              <wp:posOffset>1887855</wp:posOffset>
            </wp:positionH>
            <wp:positionV relativeFrom="paragraph">
              <wp:posOffset>31750</wp:posOffset>
            </wp:positionV>
            <wp:extent cx="1990725" cy="717550"/>
            <wp:effectExtent l="19050" t="0" r="9525" b="0"/>
            <wp:wrapSquare wrapText="bothSides"/>
            <wp:docPr id="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8" cstate="print"/>
                    <a:srcRect l="24503" t="47961" r="28311" b="27754"/>
                    <a:stretch>
                      <a:fillRect/>
                    </a:stretch>
                  </pic:blipFill>
                  <pic:spPr bwMode="auto">
                    <a:xfrm>
                      <a:off x="0" y="0"/>
                      <a:ext cx="1990725" cy="717550"/>
                    </a:xfrm>
                    <a:prstGeom prst="rect">
                      <a:avLst/>
                    </a:prstGeom>
                    <a:noFill/>
                    <a:ln w="9525">
                      <a:noFill/>
                      <a:miter lim="800000"/>
                      <a:headEnd/>
                      <a:tailEnd/>
                    </a:ln>
                  </pic:spPr>
                </pic:pic>
              </a:graphicData>
            </a:graphic>
          </wp:anchor>
        </w:drawing>
      </w:r>
    </w:p>
    <w:p w:rsidR="008A7A90" w:rsidRDefault="008A7A90" w:rsidP="008A7A90">
      <w:pPr>
        <w:jc w:val="center"/>
      </w:pPr>
    </w:p>
    <w:p w:rsidR="008A7A90" w:rsidRDefault="008A7A90" w:rsidP="008A7A90">
      <w:pPr>
        <w:jc w:val="center"/>
      </w:pPr>
    </w:p>
    <w:p w:rsidR="008A7A90" w:rsidRDefault="008A7A90" w:rsidP="008A7A90">
      <w:pPr>
        <w:jc w:val="center"/>
      </w:pPr>
    </w:p>
    <w:p w:rsidR="008A7A90" w:rsidRDefault="008A7A90" w:rsidP="008A7A90">
      <w:pPr>
        <w:jc w:val="center"/>
      </w:pPr>
    </w:p>
    <w:p w:rsidR="008A7A90" w:rsidRPr="006A105E" w:rsidRDefault="008A7A90" w:rsidP="008A7A90">
      <w:pPr>
        <w:ind w:left="2832"/>
        <w:rPr>
          <w:rFonts w:ascii="Agency FB" w:hAnsi="Agency FB"/>
          <w:b/>
        </w:rPr>
      </w:pPr>
      <w:r>
        <w:rPr>
          <w:rFonts w:ascii="Agency FB" w:hAnsi="Agency FB"/>
          <w:b/>
        </w:rPr>
        <w:t xml:space="preserve">                          ----------              </w:t>
      </w:r>
    </w:p>
    <w:p w:rsidR="008A7A90" w:rsidRDefault="008A7A90" w:rsidP="008A7A90">
      <w:pPr>
        <w:jc w:val="center"/>
        <w:rPr>
          <w:rFonts w:ascii="Trebuchet MS" w:hAnsi="Trebuchet MS"/>
          <w:b/>
          <w:bCs/>
          <w:color w:val="41405C"/>
          <w:sz w:val="32"/>
          <w:szCs w:val="32"/>
        </w:rPr>
      </w:pPr>
    </w:p>
    <w:p w:rsidR="008A7A90" w:rsidRDefault="008A7A90" w:rsidP="008A7A90">
      <w:pPr>
        <w:jc w:val="center"/>
        <w:rPr>
          <w:rFonts w:ascii="Trebuchet MS" w:hAnsi="Trebuchet MS"/>
          <w:b/>
          <w:bCs/>
          <w:color w:val="41405C"/>
          <w:sz w:val="32"/>
          <w:szCs w:val="32"/>
        </w:rPr>
      </w:pPr>
    </w:p>
    <w:p w:rsidR="008A7A90" w:rsidRDefault="008A7A90" w:rsidP="008A7A90">
      <w:pPr>
        <w:jc w:val="center"/>
        <w:rPr>
          <w:rFonts w:ascii="Trebuchet MS" w:hAnsi="Trebuchet MS"/>
          <w:b/>
          <w:bCs/>
          <w:color w:val="41405C"/>
          <w:sz w:val="32"/>
          <w:szCs w:val="32"/>
        </w:rPr>
      </w:pPr>
    </w:p>
    <w:p w:rsidR="008A7A90" w:rsidRDefault="008A7A90" w:rsidP="008A7A90">
      <w:pPr>
        <w:jc w:val="center"/>
        <w:rPr>
          <w:rFonts w:ascii="Trebuchet MS" w:hAnsi="Trebuchet MS"/>
          <w:b/>
          <w:bCs/>
          <w:color w:val="41405C"/>
          <w:sz w:val="32"/>
          <w:szCs w:val="32"/>
        </w:rPr>
      </w:pPr>
    </w:p>
    <w:p w:rsidR="008A7A90" w:rsidRDefault="00036749" w:rsidP="008A7A90">
      <w:pPr>
        <w:jc w:val="center"/>
        <w:rPr>
          <w:rFonts w:ascii="Trebuchet MS" w:hAnsi="Trebuchet MS"/>
          <w:b/>
          <w:bCs/>
          <w:color w:val="41405C"/>
          <w:sz w:val="32"/>
          <w:szCs w:val="32"/>
        </w:rPr>
      </w:pPr>
      <w:r w:rsidRPr="00036749">
        <w:rPr>
          <w:noProof/>
          <w:lang w:val="de-DE" w:eastAsia="de-DE"/>
        </w:rPr>
        <w:pict>
          <v:roundrect id="AutoShape 3" o:spid="_x0000_s1026" style="position:absolute;left:0;text-align:left;margin-left:-13.25pt;margin-top:4.1pt;width:491.8pt;height:114.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" strokecolor="#44546a [3215]" strokeweight="6pt">
            <v:shadow on="t" opacity=".5" offset="-6pt,-6pt"/>
            <v:textbox>
              <w:txbxContent>
                <w:p w:rsidR="008A7A90" w:rsidRPr="0033784E" w:rsidRDefault="008A7A90" w:rsidP="004452C5">
                  <w:pPr>
                    <w:shd w:val="clear" w:color="auto" w:fill="F2F2F2" w:themeFill="background1" w:themeFillShade="F2"/>
                    <w:tabs>
                      <w:tab w:val="left" w:pos="3980"/>
                    </w:tabs>
                    <w:spacing w:line="360" w:lineRule="auto"/>
                    <w:jc w:val="center"/>
                    <w:rPr>
                      <w:rFonts w:ascii="Rockwell Extra Bold" w:eastAsia="Arial Unicode MS" w:hAnsi="Rockwell Extra Bold" w:cs="Arial Unicode MS"/>
                      <w:b/>
                      <w:sz w:val="40"/>
                      <w:szCs w:val="28"/>
                    </w:rPr>
                  </w:pPr>
                  <w:r>
                    <w:rPr>
                      <w:rFonts w:ascii="Rockwell Extra Bold" w:eastAsia="Arial Unicode MS" w:hAnsi="Rockwell Extra Bold" w:cs="Arial Unicode MS"/>
                      <w:b/>
                      <w:sz w:val="40"/>
                      <w:szCs w:val="28"/>
                    </w:rPr>
                    <w:t xml:space="preserve">SEMINAIRE SUR LES NULLITES DE PROCEDURE EN MATIERE CRIMINELLE </w:t>
                  </w:r>
                </w:p>
              </w:txbxContent>
            </v:textbox>
          </v:roundrect>
        </w:pict>
      </w:r>
    </w:p>
    <w:p w:rsidR="008A7A90" w:rsidRDefault="008A7A90" w:rsidP="008A7A90">
      <w:pPr>
        <w:ind w:left="2124" w:firstLine="708"/>
      </w:pPr>
    </w:p>
    <w:p w:rsidR="008A7A90" w:rsidRPr="0033784E" w:rsidRDefault="008A7A90" w:rsidP="008A7A90"/>
    <w:p w:rsidR="008A7A90" w:rsidRPr="0033784E" w:rsidRDefault="008A7A90" w:rsidP="008A7A90"/>
    <w:p w:rsidR="008A7A90" w:rsidRPr="0033784E" w:rsidRDefault="008A7A90" w:rsidP="008A7A90"/>
    <w:p w:rsidR="008A7A90" w:rsidRPr="0033784E" w:rsidRDefault="008A7A90" w:rsidP="008A7A90"/>
    <w:p w:rsidR="008A7A90" w:rsidRPr="0033784E" w:rsidRDefault="008A7A90" w:rsidP="008A7A90"/>
    <w:p w:rsidR="008A7A90" w:rsidRPr="0033784E" w:rsidRDefault="008A7A90" w:rsidP="008A7A90"/>
    <w:p w:rsidR="008A7A90" w:rsidRPr="0033784E" w:rsidRDefault="008A7A90" w:rsidP="008A7A90"/>
    <w:p w:rsidR="008A7A90" w:rsidRPr="0033784E" w:rsidRDefault="008A7A90" w:rsidP="008A7A90"/>
    <w:p w:rsidR="008A7A90" w:rsidRPr="0033784E" w:rsidRDefault="008A7A90" w:rsidP="008A7A90"/>
    <w:p w:rsidR="008A7A90" w:rsidRPr="0033784E" w:rsidRDefault="008A7A90" w:rsidP="008A7A90"/>
    <w:p w:rsidR="008A7A90" w:rsidRDefault="008A7A90" w:rsidP="008A7A90">
      <w:pPr>
        <w:tabs>
          <w:tab w:val="left" w:pos="6220"/>
        </w:tabs>
        <w:spacing w:line="360" w:lineRule="auto"/>
        <w:rPr>
          <w:rFonts w:ascii="Calisto MT" w:hAnsi="Calisto MT"/>
          <w:b/>
          <w:sz w:val="28"/>
        </w:rPr>
      </w:pPr>
    </w:p>
    <w:p w:rsidR="008A7A90" w:rsidRDefault="008A7A90" w:rsidP="008A7A90">
      <w:pPr>
        <w:tabs>
          <w:tab w:val="left" w:pos="6220"/>
        </w:tabs>
        <w:spacing w:line="360" w:lineRule="auto"/>
        <w:rPr>
          <w:rFonts w:ascii="Calisto MT" w:hAnsi="Calisto MT"/>
          <w:b/>
          <w:sz w:val="28"/>
        </w:rPr>
      </w:pPr>
    </w:p>
    <w:p w:rsidR="008A7A90" w:rsidRDefault="008A7A90" w:rsidP="008A7A90">
      <w:pPr>
        <w:tabs>
          <w:tab w:val="left" w:pos="6220"/>
        </w:tabs>
        <w:spacing w:line="360" w:lineRule="auto"/>
        <w:rPr>
          <w:rFonts w:ascii="Calisto MT" w:hAnsi="Calisto MT"/>
          <w:b/>
          <w:sz w:val="28"/>
        </w:rPr>
      </w:pPr>
    </w:p>
    <w:p w:rsidR="008A7A90" w:rsidRDefault="008A7A90" w:rsidP="008A7A90">
      <w:pPr>
        <w:tabs>
          <w:tab w:val="left" w:pos="6220"/>
        </w:tabs>
        <w:spacing w:line="360" w:lineRule="auto"/>
        <w:rPr>
          <w:rFonts w:ascii="Calisto MT" w:hAnsi="Calisto MT"/>
          <w:b/>
          <w:sz w:val="28"/>
        </w:rPr>
      </w:pPr>
    </w:p>
    <w:p w:rsidR="008A7A90" w:rsidRPr="001D3561" w:rsidRDefault="008A7A90" w:rsidP="008A7A90">
      <w:pPr>
        <w:tabs>
          <w:tab w:val="left" w:pos="6220"/>
        </w:tabs>
        <w:spacing w:line="360" w:lineRule="auto"/>
      </w:pPr>
      <w:r>
        <w:tab/>
      </w:r>
    </w:p>
    <w:p w:rsidR="008A7A90" w:rsidRPr="009D029F" w:rsidRDefault="008A7A90" w:rsidP="008A7A90">
      <w:pPr>
        <w:shd w:val="clear" w:color="auto" w:fill="8496B0" w:themeFill="text2" w:themeFillTint="99"/>
        <w:tabs>
          <w:tab w:val="left" w:pos="6220"/>
        </w:tabs>
        <w:spacing w:line="360" w:lineRule="auto"/>
        <w:jc w:val="center"/>
        <w:rPr>
          <w:rFonts w:ascii="Verdana" w:hAnsi="Verdana"/>
          <w:b/>
          <w:color w:val="0D0D0D" w:themeColor="text1" w:themeTint="F2"/>
        </w:rPr>
      </w:pPr>
      <w:r>
        <w:rPr>
          <w:rFonts w:ascii="Verdana" w:hAnsi="Verdana"/>
          <w:b/>
          <w:color w:val="0D0D0D" w:themeColor="text1" w:themeTint="F2"/>
        </w:rPr>
        <w:t>Cour d’Appel de Dakar le 29 novembre 2017</w:t>
      </w:r>
    </w:p>
    <w:p w:rsidR="008A7A90" w:rsidRDefault="008A7A90" w:rsidP="00375E50">
      <w:pPr>
        <w:spacing w:line="360" w:lineRule="auto"/>
        <w:jc w:val="both"/>
        <w:rPr>
          <w:rFonts w:ascii="Comic Sans MS" w:hAnsi="Comic Sans MS"/>
          <w:sz w:val="22"/>
          <w:szCs w:val="22"/>
        </w:rPr>
      </w:pPr>
    </w:p>
    <w:p w:rsidR="008A7A90" w:rsidRDefault="008A7A90" w:rsidP="00375E50">
      <w:pPr>
        <w:spacing w:line="360" w:lineRule="auto"/>
        <w:jc w:val="both"/>
        <w:rPr>
          <w:rFonts w:ascii="Comic Sans MS" w:hAnsi="Comic Sans MS"/>
          <w:sz w:val="22"/>
          <w:szCs w:val="22"/>
        </w:rPr>
      </w:pPr>
    </w:p>
    <w:p w:rsidR="008A7A90" w:rsidRDefault="008A7A90" w:rsidP="00375E50">
      <w:pPr>
        <w:spacing w:line="360" w:lineRule="auto"/>
        <w:jc w:val="both"/>
        <w:rPr>
          <w:rFonts w:ascii="Comic Sans MS" w:hAnsi="Comic Sans MS"/>
          <w:sz w:val="22"/>
          <w:szCs w:val="22"/>
        </w:rPr>
      </w:pPr>
    </w:p>
    <w:p w:rsidR="008A7A90" w:rsidRDefault="008A7A90" w:rsidP="00375E50">
      <w:pPr>
        <w:spacing w:line="360" w:lineRule="auto"/>
        <w:jc w:val="both"/>
        <w:rPr>
          <w:rFonts w:ascii="Comic Sans MS" w:hAnsi="Comic Sans MS"/>
          <w:sz w:val="22"/>
          <w:szCs w:val="22"/>
        </w:rPr>
      </w:pPr>
    </w:p>
    <w:p w:rsidR="008A7A90" w:rsidRDefault="008A7A90" w:rsidP="00375E50">
      <w:pPr>
        <w:spacing w:line="360" w:lineRule="auto"/>
        <w:jc w:val="both"/>
        <w:rPr>
          <w:rFonts w:ascii="Comic Sans MS" w:hAnsi="Comic Sans MS"/>
          <w:sz w:val="22"/>
          <w:szCs w:val="22"/>
        </w:rPr>
      </w:pPr>
    </w:p>
    <w:p w:rsidR="008A7A90" w:rsidRDefault="008A7A90" w:rsidP="00375E50">
      <w:pPr>
        <w:spacing w:line="360" w:lineRule="auto"/>
        <w:jc w:val="both"/>
        <w:rPr>
          <w:rFonts w:ascii="Comic Sans MS" w:hAnsi="Comic Sans MS"/>
          <w:sz w:val="22"/>
          <w:szCs w:val="22"/>
        </w:rPr>
      </w:pPr>
    </w:p>
    <w:p w:rsidR="003E0151" w:rsidRPr="00DB5AF3" w:rsidRDefault="003E0151" w:rsidP="003E0151">
      <w:pPr>
        <w:rPr>
          <w:b/>
          <w:sz w:val="28"/>
          <w:szCs w:val="28"/>
        </w:rPr>
      </w:pPr>
      <w:r w:rsidRPr="00DB5AF3">
        <w:rPr>
          <w:b/>
          <w:sz w:val="28"/>
          <w:szCs w:val="28"/>
        </w:rPr>
        <w:lastRenderedPageBreak/>
        <w:t xml:space="preserve">Plan du rapport </w:t>
      </w:r>
    </w:p>
    <w:p w:rsidR="003E0151" w:rsidRPr="00863D9B" w:rsidRDefault="003E0151" w:rsidP="003E0151">
      <w:pPr>
        <w:rPr>
          <w:b/>
        </w:rPr>
      </w:pPr>
    </w:p>
    <w:p w:rsidR="003E0151" w:rsidRPr="00863D9B" w:rsidRDefault="003E0151" w:rsidP="003E0151">
      <w:pPr>
        <w:pStyle w:val="Paragraphedeliste"/>
        <w:numPr>
          <w:ilvl w:val="0"/>
          <w:numId w:val="10"/>
        </w:numPr>
        <w:spacing w:after="200" w:line="276" w:lineRule="auto"/>
      </w:pPr>
      <w:r w:rsidRPr="00863D9B">
        <w:t>Cérémonie d’ouverture de la journée de réflexion</w:t>
      </w:r>
    </w:p>
    <w:p w:rsidR="003E0151" w:rsidRPr="00863D9B" w:rsidRDefault="003E0151" w:rsidP="003E0151">
      <w:pPr>
        <w:pStyle w:val="Paragraphedeliste"/>
        <w:numPr>
          <w:ilvl w:val="0"/>
          <w:numId w:val="10"/>
        </w:numPr>
        <w:spacing w:after="200" w:line="276" w:lineRule="auto"/>
      </w:pPr>
      <w:r w:rsidRPr="00863D9B">
        <w:t>Exposés de mise à niveau sur les différentes formes de nullité</w:t>
      </w:r>
      <w:r w:rsidR="00927A96">
        <w:t xml:space="preserve"> et les réponses des Juges</w:t>
      </w:r>
    </w:p>
    <w:p w:rsidR="003E0151" w:rsidRPr="00863D9B" w:rsidRDefault="003E0151" w:rsidP="003E0151">
      <w:pPr>
        <w:pStyle w:val="Paragraphedeliste"/>
        <w:numPr>
          <w:ilvl w:val="1"/>
          <w:numId w:val="10"/>
        </w:numPr>
        <w:spacing w:after="200" w:line="276" w:lineRule="auto"/>
      </w:pPr>
      <w:r w:rsidRPr="00863D9B">
        <w:t>Etude sur la question des nullités devant les Chambres Criminelles</w:t>
      </w:r>
    </w:p>
    <w:p w:rsidR="003E0151" w:rsidRPr="00863D9B" w:rsidRDefault="003E0151" w:rsidP="00BD464C">
      <w:pPr>
        <w:pStyle w:val="Paragraphedeliste"/>
        <w:numPr>
          <w:ilvl w:val="0"/>
          <w:numId w:val="20"/>
        </w:numPr>
        <w:spacing w:line="360" w:lineRule="auto"/>
        <w:jc w:val="both"/>
      </w:pPr>
      <w:r w:rsidRPr="00863D9B">
        <w:t xml:space="preserve">Typologie des nullités généralement </w:t>
      </w:r>
      <w:r w:rsidR="00BD464C" w:rsidRPr="00863D9B">
        <w:t>soulev</w:t>
      </w:r>
      <w:r w:rsidRPr="00863D9B">
        <w:t>ées à l’audience criminelle</w:t>
      </w:r>
    </w:p>
    <w:p w:rsidR="00BD464C" w:rsidRPr="00863D9B" w:rsidRDefault="00BD464C" w:rsidP="004452C5">
      <w:pPr>
        <w:pStyle w:val="Paragraphedeliste"/>
        <w:numPr>
          <w:ilvl w:val="0"/>
          <w:numId w:val="22"/>
        </w:numPr>
        <w:spacing w:line="360" w:lineRule="auto"/>
        <w:ind w:hanging="11"/>
        <w:jc w:val="both"/>
      </w:pPr>
      <w:r w:rsidRPr="00863D9B">
        <w:t>Les nullités textuelles</w:t>
      </w:r>
    </w:p>
    <w:p w:rsidR="00BD464C" w:rsidRPr="00863D9B" w:rsidRDefault="00BD464C" w:rsidP="004452C5">
      <w:pPr>
        <w:pStyle w:val="Paragraphedeliste"/>
        <w:numPr>
          <w:ilvl w:val="0"/>
          <w:numId w:val="19"/>
        </w:numPr>
        <w:spacing w:line="360" w:lineRule="auto"/>
        <w:ind w:hanging="11"/>
        <w:jc w:val="both"/>
      </w:pPr>
      <w:r w:rsidRPr="00863D9B">
        <w:t>Les nullités policières</w:t>
      </w:r>
    </w:p>
    <w:p w:rsidR="003E0151" w:rsidRPr="00863D9B" w:rsidRDefault="00BD464C" w:rsidP="004452C5">
      <w:pPr>
        <w:pStyle w:val="Paragraphedeliste"/>
        <w:numPr>
          <w:ilvl w:val="0"/>
          <w:numId w:val="19"/>
        </w:numPr>
        <w:spacing w:line="360" w:lineRule="auto"/>
        <w:ind w:hanging="11"/>
        <w:jc w:val="both"/>
      </w:pPr>
      <w:r w:rsidRPr="00863D9B">
        <w:t>Les nullités de l’instruction</w:t>
      </w:r>
    </w:p>
    <w:p w:rsidR="00BD464C" w:rsidRPr="00863D9B" w:rsidRDefault="00BD464C" w:rsidP="004452C5">
      <w:pPr>
        <w:pStyle w:val="Paragraphedeliste"/>
        <w:numPr>
          <w:ilvl w:val="0"/>
          <w:numId w:val="22"/>
        </w:numPr>
        <w:spacing w:line="360" w:lineRule="auto"/>
        <w:ind w:hanging="11"/>
        <w:jc w:val="both"/>
      </w:pPr>
      <w:r w:rsidRPr="00863D9B">
        <w:t>Les nullités substantielles</w:t>
      </w:r>
    </w:p>
    <w:p w:rsidR="00BD464C" w:rsidRPr="00863D9B" w:rsidRDefault="00BD464C" w:rsidP="004452C5">
      <w:pPr>
        <w:pStyle w:val="Paragraphedeliste"/>
        <w:numPr>
          <w:ilvl w:val="0"/>
          <w:numId w:val="23"/>
        </w:numPr>
        <w:spacing w:line="360" w:lineRule="auto"/>
        <w:ind w:left="1134" w:firstLine="0"/>
        <w:jc w:val="both"/>
      </w:pPr>
      <w:r w:rsidRPr="00863D9B">
        <w:t xml:space="preserve">Timidité de la jurisprudence relative aux nullités substantielles de l’enquête </w:t>
      </w:r>
    </w:p>
    <w:p w:rsidR="00BD464C" w:rsidRPr="00863D9B" w:rsidRDefault="00BD464C" w:rsidP="004452C5">
      <w:pPr>
        <w:pStyle w:val="Paragraphedeliste"/>
        <w:numPr>
          <w:ilvl w:val="0"/>
          <w:numId w:val="23"/>
        </w:numPr>
        <w:spacing w:line="360" w:lineRule="auto"/>
        <w:ind w:firstLine="414"/>
        <w:jc w:val="both"/>
      </w:pPr>
      <w:r w:rsidRPr="00863D9B">
        <w:t>Sanction de l’omission des formalités substantielles au niveau de l’instruction</w:t>
      </w:r>
    </w:p>
    <w:p w:rsidR="00BD464C" w:rsidRPr="00863D9B" w:rsidRDefault="00BD464C" w:rsidP="00BD464C">
      <w:pPr>
        <w:pStyle w:val="Paragraphedeliste"/>
        <w:numPr>
          <w:ilvl w:val="0"/>
          <w:numId w:val="20"/>
        </w:numPr>
        <w:spacing w:line="360" w:lineRule="auto"/>
        <w:jc w:val="both"/>
      </w:pPr>
      <w:r w:rsidRPr="00863D9B">
        <w:t>Les techniques de sauvegarde des procédures encourant l’annulation</w:t>
      </w:r>
    </w:p>
    <w:p w:rsidR="00304E74" w:rsidRPr="00863D9B" w:rsidRDefault="00304E74" w:rsidP="004452C5">
      <w:pPr>
        <w:pStyle w:val="Paragraphedeliste"/>
        <w:numPr>
          <w:ilvl w:val="0"/>
          <w:numId w:val="24"/>
        </w:numPr>
        <w:spacing w:line="360" w:lineRule="auto"/>
        <w:ind w:hanging="11"/>
        <w:jc w:val="both"/>
      </w:pPr>
      <w:r w:rsidRPr="00863D9B">
        <w:t>Les techniques de réparation</w:t>
      </w:r>
    </w:p>
    <w:p w:rsidR="00304E74" w:rsidRPr="00863D9B" w:rsidRDefault="00304E74" w:rsidP="004452C5">
      <w:pPr>
        <w:pStyle w:val="Paragraphedeliste"/>
        <w:numPr>
          <w:ilvl w:val="0"/>
          <w:numId w:val="25"/>
        </w:numPr>
        <w:spacing w:line="360" w:lineRule="auto"/>
        <w:ind w:hanging="11"/>
        <w:jc w:val="both"/>
      </w:pPr>
      <w:r w:rsidRPr="00863D9B">
        <w:t>La renonciation</w:t>
      </w:r>
    </w:p>
    <w:p w:rsidR="00BD464C" w:rsidRPr="00863D9B" w:rsidRDefault="00304E74" w:rsidP="004452C5">
      <w:pPr>
        <w:pStyle w:val="Paragraphedeliste"/>
        <w:numPr>
          <w:ilvl w:val="0"/>
          <w:numId w:val="25"/>
        </w:numPr>
        <w:spacing w:line="360" w:lineRule="auto"/>
        <w:ind w:hanging="11"/>
        <w:jc w:val="both"/>
      </w:pPr>
      <w:r w:rsidRPr="00863D9B">
        <w:t>La réfaction de l’acte irrégulier</w:t>
      </w:r>
    </w:p>
    <w:p w:rsidR="00304E74" w:rsidRPr="00863D9B" w:rsidRDefault="00304E74" w:rsidP="004452C5">
      <w:pPr>
        <w:pStyle w:val="Paragraphedeliste"/>
        <w:numPr>
          <w:ilvl w:val="0"/>
          <w:numId w:val="24"/>
        </w:numPr>
        <w:spacing w:line="360" w:lineRule="auto"/>
        <w:ind w:hanging="11"/>
        <w:jc w:val="both"/>
      </w:pPr>
      <w:r w:rsidRPr="00863D9B">
        <w:t>Les techniques de neutralisation</w:t>
      </w:r>
    </w:p>
    <w:p w:rsidR="00304E74" w:rsidRPr="00863D9B" w:rsidRDefault="00304E74" w:rsidP="004452C5">
      <w:pPr>
        <w:pStyle w:val="Paragraphedeliste"/>
        <w:numPr>
          <w:ilvl w:val="0"/>
          <w:numId w:val="26"/>
        </w:numPr>
        <w:spacing w:line="360" w:lineRule="auto"/>
        <w:ind w:left="1134" w:firstLine="0"/>
        <w:jc w:val="both"/>
      </w:pPr>
      <w:r w:rsidRPr="00863D9B">
        <w:t>La purge des vices</w:t>
      </w:r>
    </w:p>
    <w:p w:rsidR="00304E74" w:rsidRPr="00863D9B" w:rsidRDefault="00304E74" w:rsidP="004452C5">
      <w:pPr>
        <w:pStyle w:val="Paragraphedeliste"/>
        <w:numPr>
          <w:ilvl w:val="0"/>
          <w:numId w:val="26"/>
        </w:numPr>
        <w:spacing w:line="360" w:lineRule="auto"/>
        <w:ind w:firstLine="414"/>
        <w:jc w:val="both"/>
      </w:pPr>
      <w:r w:rsidRPr="00863D9B">
        <w:t>L’anéantissement de l’acte vicié</w:t>
      </w:r>
    </w:p>
    <w:p w:rsidR="008A7A90" w:rsidRPr="00863D9B" w:rsidRDefault="00304E74" w:rsidP="008A7A90">
      <w:pPr>
        <w:pStyle w:val="Paragraphedeliste"/>
        <w:numPr>
          <w:ilvl w:val="1"/>
          <w:numId w:val="27"/>
        </w:numPr>
        <w:spacing w:line="360" w:lineRule="auto"/>
        <w:jc w:val="both"/>
      </w:pPr>
      <w:r w:rsidRPr="00863D9B">
        <w:t xml:space="preserve">L’état de la jurisprudence des chambres criminelles du ressort de Dakar </w:t>
      </w:r>
      <w:r w:rsidR="00514D5C">
        <w:t>sur les</w:t>
      </w:r>
      <w:r w:rsidRPr="00863D9B">
        <w:t xml:space="preserve"> nullités </w:t>
      </w:r>
    </w:p>
    <w:p w:rsidR="00863D9B" w:rsidRPr="00863D9B" w:rsidRDefault="00863D9B" w:rsidP="00863D9B">
      <w:pPr>
        <w:pStyle w:val="Paragraphedeliste"/>
        <w:numPr>
          <w:ilvl w:val="0"/>
          <w:numId w:val="29"/>
        </w:numPr>
        <w:spacing w:line="360" w:lineRule="auto"/>
        <w:jc w:val="both"/>
      </w:pPr>
      <w:r w:rsidRPr="00863D9B">
        <w:t>Exposé de quelques cas pratiques rencontrés</w:t>
      </w:r>
    </w:p>
    <w:p w:rsidR="00863D9B" w:rsidRPr="00863D9B" w:rsidRDefault="00863D9B" w:rsidP="00863D9B">
      <w:pPr>
        <w:pStyle w:val="Paragraphedeliste"/>
        <w:numPr>
          <w:ilvl w:val="0"/>
          <w:numId w:val="29"/>
        </w:numPr>
        <w:spacing w:line="360" w:lineRule="auto"/>
        <w:jc w:val="both"/>
      </w:pPr>
      <w:r w:rsidRPr="00863D9B">
        <w:t>Analyse critique de la jurisprudence</w:t>
      </w:r>
    </w:p>
    <w:p w:rsidR="00863D9B" w:rsidRPr="00863D9B" w:rsidRDefault="00863D9B" w:rsidP="00863D9B">
      <w:pPr>
        <w:pStyle w:val="Paragraphedeliste"/>
        <w:numPr>
          <w:ilvl w:val="0"/>
          <w:numId w:val="27"/>
        </w:numPr>
        <w:spacing w:line="360" w:lineRule="auto"/>
        <w:jc w:val="both"/>
      </w:pPr>
      <w:r w:rsidRPr="00863D9B">
        <w:t>Discussion générale et synthèse des travaux</w:t>
      </w:r>
    </w:p>
    <w:p w:rsidR="00863D9B" w:rsidRPr="00863D9B" w:rsidRDefault="00863D9B" w:rsidP="00863D9B">
      <w:pPr>
        <w:pStyle w:val="Paragraphedeliste"/>
        <w:numPr>
          <w:ilvl w:val="0"/>
          <w:numId w:val="27"/>
        </w:numPr>
        <w:spacing w:line="360" w:lineRule="auto"/>
        <w:jc w:val="both"/>
      </w:pPr>
      <w:r w:rsidRPr="00863D9B">
        <w:t xml:space="preserve">Recommandations et </w:t>
      </w:r>
      <w:r w:rsidR="00DB5AF3" w:rsidRPr="00863D9B">
        <w:t>clôture</w:t>
      </w:r>
      <w:r w:rsidR="00DB5AF3">
        <w:t xml:space="preserve"> des travaux</w:t>
      </w:r>
    </w:p>
    <w:p w:rsidR="008A7A90" w:rsidRPr="00863D9B" w:rsidRDefault="008A7A90" w:rsidP="00375E50">
      <w:pPr>
        <w:spacing w:line="360" w:lineRule="auto"/>
        <w:jc w:val="both"/>
      </w:pPr>
    </w:p>
    <w:p w:rsidR="008A7A90" w:rsidRPr="00863D9B" w:rsidRDefault="008A7A90" w:rsidP="00375E50">
      <w:pPr>
        <w:spacing w:line="360" w:lineRule="auto"/>
        <w:jc w:val="both"/>
      </w:pPr>
    </w:p>
    <w:p w:rsidR="008A7A90" w:rsidRPr="00863D9B" w:rsidRDefault="008A7A90" w:rsidP="00375E50">
      <w:pPr>
        <w:spacing w:line="360" w:lineRule="auto"/>
        <w:jc w:val="both"/>
      </w:pPr>
    </w:p>
    <w:p w:rsidR="008A7A90" w:rsidRPr="00863D9B" w:rsidRDefault="008A7A90" w:rsidP="00375E50">
      <w:pPr>
        <w:spacing w:line="360" w:lineRule="auto"/>
        <w:jc w:val="both"/>
      </w:pPr>
    </w:p>
    <w:p w:rsidR="008A7A90" w:rsidRPr="00863D9B" w:rsidRDefault="008A7A90" w:rsidP="00375E50">
      <w:pPr>
        <w:spacing w:line="360" w:lineRule="auto"/>
        <w:jc w:val="both"/>
      </w:pPr>
    </w:p>
    <w:p w:rsidR="008A7A90" w:rsidRPr="00863D9B" w:rsidRDefault="008A7A90" w:rsidP="00375E50">
      <w:pPr>
        <w:spacing w:line="360" w:lineRule="auto"/>
        <w:jc w:val="both"/>
      </w:pPr>
    </w:p>
    <w:p w:rsidR="008A7A90" w:rsidRPr="00863D9B" w:rsidRDefault="008A7A90" w:rsidP="00375E50">
      <w:pPr>
        <w:spacing w:line="360" w:lineRule="auto"/>
        <w:jc w:val="both"/>
      </w:pPr>
    </w:p>
    <w:p w:rsidR="008A7A90" w:rsidRPr="00863D9B" w:rsidRDefault="008A7A90" w:rsidP="00375E50">
      <w:pPr>
        <w:spacing w:line="360" w:lineRule="auto"/>
        <w:jc w:val="both"/>
      </w:pPr>
    </w:p>
    <w:p w:rsidR="008A7A90" w:rsidRDefault="008A7A90" w:rsidP="00375E50">
      <w:pPr>
        <w:spacing w:line="360" w:lineRule="auto"/>
        <w:jc w:val="both"/>
      </w:pPr>
    </w:p>
    <w:p w:rsidR="00A32673" w:rsidRPr="00863D9B" w:rsidRDefault="00A32673" w:rsidP="00375E50">
      <w:pPr>
        <w:spacing w:line="360" w:lineRule="auto"/>
        <w:jc w:val="both"/>
      </w:pPr>
    </w:p>
    <w:p w:rsidR="009F0638" w:rsidRPr="00863D9B" w:rsidRDefault="009F0638" w:rsidP="00375E50">
      <w:pPr>
        <w:spacing w:line="360" w:lineRule="auto"/>
        <w:jc w:val="both"/>
      </w:pPr>
      <w:r w:rsidRPr="00863D9B">
        <w:lastRenderedPageBreak/>
        <w:t>L</w:t>
      </w:r>
      <w:r w:rsidR="00F44CD1" w:rsidRPr="00863D9B">
        <w:t xml:space="preserve">e </w:t>
      </w:r>
      <w:r w:rsidRPr="00863D9B">
        <w:t>mercre</w:t>
      </w:r>
      <w:r w:rsidR="00F44CD1" w:rsidRPr="00863D9B">
        <w:t xml:space="preserve">di </w:t>
      </w:r>
      <w:r w:rsidRPr="00863D9B">
        <w:t>29 novembre</w:t>
      </w:r>
      <w:r w:rsidR="00F44CD1" w:rsidRPr="00863D9B">
        <w:t xml:space="preserve"> 2017 </w:t>
      </w:r>
      <w:r w:rsidRPr="00863D9B">
        <w:t xml:space="preserve">s’est tenu, à la salle de réunion de la Cour d’Appel de Dakar une journée de réflexion sur </w:t>
      </w:r>
      <w:r w:rsidRPr="00863D9B">
        <w:rPr>
          <w:b/>
          <w:i/>
        </w:rPr>
        <w:t>les nullités de la procédure en matière criminelle</w:t>
      </w:r>
      <w:r w:rsidRPr="00863D9B">
        <w:t xml:space="preserve">, </w:t>
      </w:r>
      <w:r w:rsidR="00F44CD1" w:rsidRPr="00863D9B">
        <w:t>organisé</w:t>
      </w:r>
      <w:r w:rsidRPr="00863D9B">
        <w:t>e</w:t>
      </w:r>
      <w:r w:rsidR="00F44CD1" w:rsidRPr="00863D9B">
        <w:t xml:space="preserve"> par </w:t>
      </w:r>
      <w:r w:rsidRPr="00863D9B">
        <w:t xml:space="preserve">le Centre de Formation Judiciaire avec l’appui de </w:t>
      </w:r>
      <w:r w:rsidR="00F44CD1" w:rsidRPr="00863D9B">
        <w:t xml:space="preserve">la Direction des Affaires Criminelles et des Grâces du Ministère de la Justice. </w:t>
      </w:r>
    </w:p>
    <w:p w:rsidR="00F44CD1" w:rsidRPr="00863D9B" w:rsidRDefault="00D30BD2" w:rsidP="00375E50">
      <w:pPr>
        <w:spacing w:line="360" w:lineRule="auto"/>
        <w:jc w:val="both"/>
      </w:pPr>
      <w:r w:rsidRPr="00863D9B">
        <w:t>Ont pris part à c</w:t>
      </w:r>
      <w:r w:rsidR="00F44CD1" w:rsidRPr="00863D9B">
        <w:t>et</w:t>
      </w:r>
      <w:r w:rsidR="009F0638" w:rsidRPr="00863D9B">
        <w:t>te</w:t>
      </w:r>
      <w:r w:rsidR="00076E90" w:rsidRPr="00863D9B">
        <w:t xml:space="preserve"> </w:t>
      </w:r>
      <w:r w:rsidR="009F0638" w:rsidRPr="00863D9B">
        <w:t>rencontre</w:t>
      </w:r>
      <w:r w:rsidR="00076E90" w:rsidRPr="00863D9B">
        <w:t xml:space="preserve"> </w:t>
      </w:r>
      <w:r w:rsidRPr="00863D9B">
        <w:t>les Juges d’instruction du ressort de la Cour d’A</w:t>
      </w:r>
      <w:r w:rsidR="00076E90" w:rsidRPr="00863D9B">
        <w:t>ppel de Dakar, les Magistrats du</w:t>
      </w:r>
      <w:r w:rsidRPr="00863D9B">
        <w:t xml:space="preserve"> Parquet et les Juges du siège titulaires des Chambres criminelles d’instance et d’appel mais aussi le Directeur des Affaires Criminelles et des Grâces, le Directeur du Centre de Formation Judiciaire </w:t>
      </w:r>
      <w:r w:rsidR="00076E90" w:rsidRPr="00863D9B">
        <w:t xml:space="preserve">et son </w:t>
      </w:r>
      <w:r w:rsidRPr="00863D9B">
        <w:t>Adjoint ainsi que le Premier Président de la Cour d’Appel de Dakar et le Procureur Général près ladite Cour</w:t>
      </w:r>
      <w:r w:rsidR="00C748F1">
        <w:t xml:space="preserve"> (Cf. liste de présence annexée)</w:t>
      </w:r>
      <w:r w:rsidRPr="00863D9B">
        <w:t>.</w:t>
      </w:r>
    </w:p>
    <w:p w:rsidR="003E0151" w:rsidRPr="00863D9B" w:rsidRDefault="003E0151" w:rsidP="003E0151">
      <w:pPr>
        <w:pStyle w:val="Paragraphedeliste"/>
        <w:numPr>
          <w:ilvl w:val="0"/>
          <w:numId w:val="11"/>
        </w:numPr>
        <w:spacing w:line="360" w:lineRule="auto"/>
        <w:jc w:val="both"/>
        <w:rPr>
          <w:b/>
        </w:rPr>
      </w:pPr>
      <w:r w:rsidRPr="00863D9B">
        <w:rPr>
          <w:b/>
        </w:rPr>
        <w:t>Cérémonie d’ouverture</w:t>
      </w:r>
    </w:p>
    <w:p w:rsidR="00F44CD1" w:rsidRPr="00863D9B" w:rsidRDefault="00F44CD1" w:rsidP="00375E50">
      <w:pPr>
        <w:spacing w:line="360" w:lineRule="auto"/>
        <w:jc w:val="both"/>
      </w:pPr>
      <w:r w:rsidRPr="00863D9B">
        <w:t xml:space="preserve">Les travaux ont </w:t>
      </w:r>
      <w:r w:rsidR="00D30BD2" w:rsidRPr="00863D9B">
        <w:t>débuté à 09H30 avec le mot de bienvenue de monsieur le Premier Président de la Cour d’Appel qui, après avoir salué l’initiative du CFJ, a insisté sur l’importance de la rencontre avec notamment l’échange d’expérience des praticiens quotidiennement confrontés au problème des nullités</w:t>
      </w:r>
      <w:r w:rsidRPr="00863D9B">
        <w:t>.</w:t>
      </w:r>
    </w:p>
    <w:p w:rsidR="00043489" w:rsidRPr="00863D9B" w:rsidRDefault="00043489" w:rsidP="00375E50">
      <w:pPr>
        <w:spacing w:line="360" w:lineRule="auto"/>
        <w:jc w:val="both"/>
      </w:pPr>
      <w:r w:rsidRPr="00863D9B">
        <w:t xml:space="preserve">Prenant la parole, </w:t>
      </w:r>
      <w:r w:rsidR="00EB0227" w:rsidRPr="00863D9B">
        <w:t>le Directeur des Affaires Criminelles et des Grâces</w:t>
      </w:r>
      <w:r w:rsidR="001D2266">
        <w:t>, qui a dirigé les travaux en tant que modérateur des débats,</w:t>
      </w:r>
      <w:r w:rsidR="00EB0227" w:rsidRPr="00863D9B">
        <w:t xml:space="preserve"> a remercié le CFJ de l’avoir associé à cette journée de réflexion dont le but était surtout d’instituer les bonnes pratiques et de voir ensemble les textes et les problèmes qu’ils posent en vue d’une interprétation </w:t>
      </w:r>
      <w:r w:rsidR="00AA5D80" w:rsidRPr="00863D9B">
        <w:t xml:space="preserve">uniforme </w:t>
      </w:r>
      <w:r w:rsidR="00EB0227" w:rsidRPr="00863D9B">
        <w:t>ou d’une réforme.</w:t>
      </w:r>
    </w:p>
    <w:p w:rsidR="00EB0227" w:rsidRPr="00863D9B" w:rsidRDefault="00EB0227" w:rsidP="00375E50">
      <w:pPr>
        <w:spacing w:line="360" w:lineRule="auto"/>
        <w:jc w:val="both"/>
      </w:pPr>
      <w:r w:rsidRPr="00863D9B">
        <w:t>A sa suite, le Directeur du Centre de Formation Judiciaire a indiqué que la rencontre rentrait dans le cadre des activités de renforcement des capacités judiciaires initié</w:t>
      </w:r>
      <w:r w:rsidR="00AA5D80" w:rsidRPr="00863D9B">
        <w:t>es</w:t>
      </w:r>
      <w:r w:rsidRPr="00863D9B">
        <w:t xml:space="preserve"> par le Centre de Formation Judiciaire dont la mission était également de surveiller les pratiques et </w:t>
      </w:r>
      <w:r w:rsidR="00AA5D80" w:rsidRPr="00863D9B">
        <w:t xml:space="preserve">de </w:t>
      </w:r>
      <w:r w:rsidRPr="00863D9B">
        <w:t>décliner, avec l’appui de</w:t>
      </w:r>
      <w:r w:rsidR="00B23E59" w:rsidRPr="00863D9B">
        <w:t xml:space="preserve"> toute</w:t>
      </w:r>
      <w:r w:rsidRPr="00863D9B">
        <w:t xml:space="preserve">s </w:t>
      </w:r>
      <w:r w:rsidR="00B23E59" w:rsidRPr="00863D9B">
        <w:t xml:space="preserve">les </w:t>
      </w:r>
      <w:r w:rsidRPr="00863D9B">
        <w:t xml:space="preserve">Directions techniques du Ministère de la Justice, des activités pédagogiques pour l’amélioration et l’accompagnement </w:t>
      </w:r>
      <w:r w:rsidR="009132DE" w:rsidRPr="00863D9B">
        <w:t xml:space="preserve">des réformes et </w:t>
      </w:r>
      <w:r w:rsidRPr="00863D9B">
        <w:t>de la Jurisprudence</w:t>
      </w:r>
      <w:r w:rsidR="009132DE" w:rsidRPr="00863D9B">
        <w:t xml:space="preserve"> produite.</w:t>
      </w:r>
    </w:p>
    <w:p w:rsidR="0021711C" w:rsidRPr="00863D9B" w:rsidRDefault="0021711C" w:rsidP="00375E50">
      <w:pPr>
        <w:spacing w:line="360" w:lineRule="auto"/>
        <w:jc w:val="both"/>
      </w:pPr>
      <w:r w:rsidRPr="00863D9B">
        <w:t xml:space="preserve">Revenant sur l’objectif de la rencontre, le Directeur du CFJ a souligné que cette journée de réflexion était le résultat du constat de la recrudescence des nullités devant les Chambres criminelles et la disparité des décisions de Justice y afférentes, d’où la nécessité non seulement, d’une plus grande attention des Juges d’instruction </w:t>
      </w:r>
      <w:r w:rsidR="005D1CCE" w:rsidRPr="00863D9B">
        <w:t xml:space="preserve">pour éviter des exceptions fatales </w:t>
      </w:r>
      <w:r w:rsidRPr="00863D9B">
        <w:t xml:space="preserve">mais aussi </w:t>
      </w:r>
      <w:r w:rsidR="00945760" w:rsidRPr="00863D9B">
        <w:t xml:space="preserve">et surtout </w:t>
      </w:r>
      <w:r w:rsidRPr="00863D9B">
        <w:t xml:space="preserve">d’un échange </w:t>
      </w:r>
      <w:r w:rsidR="00945760" w:rsidRPr="00863D9B">
        <w:t xml:space="preserve">des praticiens </w:t>
      </w:r>
      <w:r w:rsidRPr="00863D9B">
        <w:t>sur les bonnes pratiques dans les différentes Juridictions du ressort de la Cour d’Appel de Dakar</w:t>
      </w:r>
      <w:r w:rsidR="00C56188" w:rsidRPr="00863D9B">
        <w:t xml:space="preserve"> pour apprécier les différents cas et harmoniser l’interprétation des textes.</w:t>
      </w:r>
    </w:p>
    <w:p w:rsidR="004A5D7B" w:rsidRPr="00863D9B" w:rsidRDefault="003B2C58" w:rsidP="00375E50">
      <w:pPr>
        <w:spacing w:line="360" w:lineRule="auto"/>
        <w:jc w:val="both"/>
      </w:pPr>
      <w:r w:rsidRPr="00863D9B">
        <w:t>Après ce discours du Directeur du CFJ, les travaux ont été conduits suivant un canevas interactif bien dé</w:t>
      </w:r>
      <w:r w:rsidR="004A5D7B" w:rsidRPr="00863D9B">
        <w:t xml:space="preserve">terminé : il s’agissait d’abord, pour bien comprendre les termes et camper le sujet de la rencontre, </w:t>
      </w:r>
      <w:r w:rsidRPr="00863D9B">
        <w:t>de procéder à la présentation par deux Substituts généraux</w:t>
      </w:r>
      <w:r w:rsidR="004A5D7B" w:rsidRPr="00863D9B">
        <w:t>,</w:t>
      </w:r>
      <w:r w:rsidRPr="00863D9B">
        <w:t xml:space="preserve"> d’exposés </w:t>
      </w:r>
      <w:r w:rsidRPr="00863D9B">
        <w:lastRenderedPageBreak/>
        <w:t xml:space="preserve">(théorique et pratique) sur la typologie des nullités rencontrées dans les audiences criminelles </w:t>
      </w:r>
      <w:r w:rsidR="004A5D7B" w:rsidRPr="00863D9B">
        <w:t>et les diff</w:t>
      </w:r>
      <w:r w:rsidR="00C748F1">
        <w:t xml:space="preserve">érentes réponses des Magistrats, </w:t>
      </w:r>
      <w:r w:rsidR="004A5D7B" w:rsidRPr="00863D9B">
        <w:t>avant d’e</w:t>
      </w:r>
      <w:r w:rsidRPr="00863D9B">
        <w:t>n</w:t>
      </w:r>
      <w:r w:rsidR="004A5D7B" w:rsidRPr="00863D9B">
        <w:t>tamer un</w:t>
      </w:r>
      <w:r w:rsidRPr="00863D9B">
        <w:t xml:space="preserve"> débat </w:t>
      </w:r>
      <w:r w:rsidR="00EF4CA7" w:rsidRPr="00863D9B">
        <w:t>animé de questions dont l’essentiel a été retenu comme constituant une piste de réflexion ou des recommandations en vue des réformes à intervenir.</w:t>
      </w:r>
    </w:p>
    <w:p w:rsidR="00EF4CA7" w:rsidRPr="00863D9B" w:rsidRDefault="00DB5AF3" w:rsidP="003E0151">
      <w:pPr>
        <w:pStyle w:val="Paragraphedeliste"/>
        <w:numPr>
          <w:ilvl w:val="0"/>
          <w:numId w:val="13"/>
        </w:numPr>
        <w:spacing w:line="360" w:lineRule="auto"/>
        <w:jc w:val="both"/>
        <w:rPr>
          <w:b/>
        </w:rPr>
      </w:pPr>
      <w:r>
        <w:rPr>
          <w:b/>
        </w:rPr>
        <w:t>Exposés théoriques de</w:t>
      </w:r>
      <w:r w:rsidR="00EF4CA7" w:rsidRPr="00863D9B">
        <w:rPr>
          <w:b/>
        </w:rPr>
        <w:t xml:space="preserve"> </w:t>
      </w:r>
      <w:r>
        <w:rPr>
          <w:b/>
        </w:rPr>
        <w:t>mi</w:t>
      </w:r>
      <w:r w:rsidR="00EF4CA7" w:rsidRPr="00863D9B">
        <w:rPr>
          <w:b/>
        </w:rPr>
        <w:t>s</w:t>
      </w:r>
      <w:r>
        <w:rPr>
          <w:b/>
        </w:rPr>
        <w:t>e à niveau</w:t>
      </w:r>
      <w:r w:rsidR="00C748F1">
        <w:rPr>
          <w:b/>
        </w:rPr>
        <w:t xml:space="preserve"> sur le traitement des nullités</w:t>
      </w:r>
    </w:p>
    <w:p w:rsidR="00EF4CA7" w:rsidRPr="00863D9B" w:rsidRDefault="00EF4CA7" w:rsidP="00375E50">
      <w:pPr>
        <w:spacing w:line="360" w:lineRule="auto"/>
        <w:jc w:val="both"/>
      </w:pPr>
      <w:r w:rsidRPr="00863D9B">
        <w:t xml:space="preserve">Pour mieux comprendre </w:t>
      </w:r>
      <w:r w:rsidR="004A5D7B" w:rsidRPr="00863D9B">
        <w:t xml:space="preserve">le régime général, </w:t>
      </w:r>
      <w:r w:rsidR="009B3249" w:rsidRPr="00863D9B">
        <w:t>la typologie des nullités soulevées devant les Chambres criminelles et les réponses des Juges, deux praticiens ont produit, chacun, un exposé axé, d’une part sur les nullités de procédure devant les chambres criminelles (</w:t>
      </w:r>
      <w:r w:rsidR="00227013">
        <w:rPr>
          <w:b/>
        </w:rPr>
        <w:t>2-1</w:t>
      </w:r>
      <w:r w:rsidR="009B3249" w:rsidRPr="00863D9B">
        <w:t>) et sur l’état de la jurisprudence relative à ces nullités dans le ressort de Dakar (</w:t>
      </w:r>
      <w:r w:rsidR="00227013">
        <w:rPr>
          <w:b/>
        </w:rPr>
        <w:t>2-2</w:t>
      </w:r>
      <w:r w:rsidR="009B3249" w:rsidRPr="00863D9B">
        <w:t>).</w:t>
      </w:r>
    </w:p>
    <w:p w:rsidR="009B3249" w:rsidRPr="00863D9B" w:rsidRDefault="009B3249" w:rsidP="003E0151">
      <w:pPr>
        <w:pStyle w:val="Paragraphedeliste"/>
        <w:numPr>
          <w:ilvl w:val="1"/>
          <w:numId w:val="14"/>
        </w:numPr>
        <w:spacing w:line="360" w:lineRule="auto"/>
        <w:jc w:val="both"/>
        <w:rPr>
          <w:b/>
        </w:rPr>
      </w:pPr>
      <w:r w:rsidRPr="00863D9B">
        <w:rPr>
          <w:b/>
        </w:rPr>
        <w:t>Etude sur la question des nullités devant les Chambres criminelles</w:t>
      </w:r>
    </w:p>
    <w:p w:rsidR="009B3249" w:rsidRPr="00863D9B" w:rsidRDefault="009B3249" w:rsidP="00375E50">
      <w:pPr>
        <w:spacing w:line="360" w:lineRule="auto"/>
        <w:jc w:val="both"/>
      </w:pPr>
      <w:r w:rsidRPr="00863D9B">
        <w:t>Cette thématique a été présentée par le Substitut Général Cheikh DIAKHOUMPA.</w:t>
      </w:r>
    </w:p>
    <w:p w:rsidR="009B3249" w:rsidRPr="00863D9B" w:rsidRDefault="009B3249" w:rsidP="00375E50">
      <w:pPr>
        <w:spacing w:line="360" w:lineRule="auto"/>
        <w:jc w:val="both"/>
      </w:pPr>
      <w:r w:rsidRPr="00863D9B">
        <w:t xml:space="preserve">Dans son exposé, </w:t>
      </w:r>
      <w:r w:rsidR="00D32E2C" w:rsidRPr="00863D9B">
        <w:t>monsieur</w:t>
      </w:r>
      <w:r w:rsidRPr="00863D9B">
        <w:t xml:space="preserve"> DIAKHOUMPA, après avoir rappelé l’importance de la forme dans le traitement des procédures criminelles, </w:t>
      </w:r>
      <w:r w:rsidR="00D32E2C" w:rsidRPr="00863D9B">
        <w:t>a procédé à un rappel des différents types de nullité soulevées à l’audience criminelle (</w:t>
      </w:r>
      <w:r w:rsidR="00BD464C" w:rsidRPr="00863D9B">
        <w:rPr>
          <w:b/>
        </w:rPr>
        <w:t>A</w:t>
      </w:r>
      <w:r w:rsidR="00D32E2C" w:rsidRPr="00863D9B">
        <w:t xml:space="preserve">) avant d’évoquer les techniques de sauvegarde des procédures </w:t>
      </w:r>
      <w:r w:rsidR="00B93144" w:rsidRPr="00863D9B">
        <w:t xml:space="preserve">encourant l’annulation </w:t>
      </w:r>
      <w:r w:rsidR="00D32E2C" w:rsidRPr="00863D9B">
        <w:t>(</w:t>
      </w:r>
      <w:r w:rsidR="00BD464C" w:rsidRPr="00863D9B">
        <w:rPr>
          <w:b/>
        </w:rPr>
        <w:t>B</w:t>
      </w:r>
      <w:r w:rsidR="00D32E2C" w:rsidRPr="00863D9B">
        <w:t>).</w:t>
      </w:r>
    </w:p>
    <w:p w:rsidR="00D32E2C" w:rsidRPr="00863D9B" w:rsidRDefault="00D32E2C" w:rsidP="00BD464C">
      <w:pPr>
        <w:pStyle w:val="Paragraphedeliste"/>
        <w:numPr>
          <w:ilvl w:val="0"/>
          <w:numId w:val="21"/>
        </w:numPr>
        <w:spacing w:line="360" w:lineRule="auto"/>
        <w:jc w:val="both"/>
        <w:rPr>
          <w:b/>
        </w:rPr>
      </w:pPr>
      <w:r w:rsidRPr="00863D9B">
        <w:rPr>
          <w:b/>
        </w:rPr>
        <w:t>Typologie des nullités généralement évoquées à l’audience criminelle</w:t>
      </w:r>
    </w:p>
    <w:p w:rsidR="00EF4CA7" w:rsidRPr="00863D9B" w:rsidRDefault="00D32E2C" w:rsidP="00375E50">
      <w:pPr>
        <w:spacing w:line="360" w:lineRule="auto"/>
        <w:jc w:val="both"/>
      </w:pPr>
      <w:r w:rsidRPr="00863D9B">
        <w:t xml:space="preserve">Dans son exposé, monsieur DIAKHOUMPA a distingué les nullités textuelles </w:t>
      </w:r>
      <w:r w:rsidR="00C756EC" w:rsidRPr="00863D9B">
        <w:t xml:space="preserve">caractérisées notamment par leur automaticité </w:t>
      </w:r>
      <w:r w:rsidRPr="00863D9B">
        <w:t>(</w:t>
      </w:r>
      <w:r w:rsidRPr="00863D9B">
        <w:rPr>
          <w:b/>
        </w:rPr>
        <w:t>a</w:t>
      </w:r>
      <w:r w:rsidRPr="00863D9B">
        <w:t>) de celles dites substantielles (</w:t>
      </w:r>
      <w:r w:rsidRPr="00863D9B">
        <w:rPr>
          <w:b/>
        </w:rPr>
        <w:t>b</w:t>
      </w:r>
      <w:r w:rsidRPr="00863D9B">
        <w:t>).</w:t>
      </w:r>
    </w:p>
    <w:p w:rsidR="00D32E2C" w:rsidRPr="00863D9B" w:rsidRDefault="00D32E2C" w:rsidP="00375E50">
      <w:pPr>
        <w:pStyle w:val="Paragraphedeliste"/>
        <w:numPr>
          <w:ilvl w:val="0"/>
          <w:numId w:val="4"/>
        </w:numPr>
        <w:spacing w:line="360" w:lineRule="auto"/>
        <w:jc w:val="both"/>
        <w:rPr>
          <w:b/>
        </w:rPr>
      </w:pPr>
      <w:r w:rsidRPr="00863D9B">
        <w:rPr>
          <w:b/>
        </w:rPr>
        <w:t>Les nullités textuelles</w:t>
      </w:r>
    </w:p>
    <w:p w:rsidR="00D32E2C" w:rsidRPr="00863D9B" w:rsidRDefault="00D32E2C" w:rsidP="00375E50">
      <w:pPr>
        <w:spacing w:line="360" w:lineRule="auto"/>
        <w:jc w:val="both"/>
      </w:pPr>
      <w:r w:rsidRPr="00863D9B">
        <w:t>Elles varient, selon l’exposant suivan</w:t>
      </w:r>
      <w:r w:rsidR="00C756EC" w:rsidRPr="00863D9B">
        <w:t xml:space="preserve">t les </w:t>
      </w:r>
      <w:r w:rsidR="00940F40" w:rsidRPr="00863D9B">
        <w:t>étap</w:t>
      </w:r>
      <w:r w:rsidR="00C756EC" w:rsidRPr="00863D9B">
        <w:t>es de</w:t>
      </w:r>
      <w:r w:rsidR="00BD464C" w:rsidRPr="00863D9B">
        <w:t xml:space="preserve"> </w:t>
      </w:r>
      <w:r w:rsidR="00C756EC" w:rsidRPr="00863D9B">
        <w:t xml:space="preserve">la </w:t>
      </w:r>
      <w:r w:rsidRPr="00863D9B">
        <w:t>proc</w:t>
      </w:r>
      <w:r w:rsidR="00C756EC" w:rsidRPr="00863D9B">
        <w:t>édure</w:t>
      </w:r>
      <w:r w:rsidRPr="00863D9B">
        <w:t xml:space="preserve"> criminel</w:t>
      </w:r>
      <w:r w:rsidR="00C756EC" w:rsidRPr="00863D9B">
        <w:t>le et sont consacrées aussi bien au niveau de la phase policière qu’au stade de l’instruction.</w:t>
      </w:r>
    </w:p>
    <w:p w:rsidR="00C756EC" w:rsidRPr="00863D9B" w:rsidRDefault="00C756EC" w:rsidP="00375E50">
      <w:pPr>
        <w:pStyle w:val="Paragraphedeliste"/>
        <w:numPr>
          <w:ilvl w:val="0"/>
          <w:numId w:val="5"/>
        </w:numPr>
        <w:spacing w:line="360" w:lineRule="auto"/>
        <w:jc w:val="both"/>
        <w:rPr>
          <w:b/>
        </w:rPr>
      </w:pPr>
      <w:r w:rsidRPr="00863D9B">
        <w:rPr>
          <w:b/>
        </w:rPr>
        <w:t xml:space="preserve">Les nullités </w:t>
      </w:r>
      <w:r w:rsidR="001D2266">
        <w:rPr>
          <w:b/>
        </w:rPr>
        <w:t xml:space="preserve">de la phase </w:t>
      </w:r>
      <w:r w:rsidRPr="00863D9B">
        <w:rPr>
          <w:b/>
        </w:rPr>
        <w:t>policières</w:t>
      </w:r>
    </w:p>
    <w:p w:rsidR="00C756EC" w:rsidRPr="00863D9B" w:rsidRDefault="00C756EC" w:rsidP="00375E50">
      <w:pPr>
        <w:spacing w:line="360" w:lineRule="auto"/>
        <w:jc w:val="both"/>
      </w:pPr>
      <w:r w:rsidRPr="00863D9B">
        <w:t>Il s’agit notamment des formalités prescrites par les articles 51</w:t>
      </w:r>
      <w:r w:rsidR="00444592" w:rsidRPr="00863D9B">
        <w:t xml:space="preserve"> (perquisition)</w:t>
      </w:r>
      <w:r w:rsidRPr="00863D9B">
        <w:t>, 55, 55 ter</w:t>
      </w:r>
      <w:r w:rsidR="00444592" w:rsidRPr="00863D9B">
        <w:t xml:space="preserve"> (durée légale de la garde-à-vue et assistance d’un conseil dès l’interpellation)</w:t>
      </w:r>
      <w:r w:rsidRPr="00863D9B">
        <w:t xml:space="preserve"> et 57 alinéa 2 du code de procédure pénale</w:t>
      </w:r>
      <w:r w:rsidR="00444592" w:rsidRPr="00863D9B">
        <w:t xml:space="preserve">, </w:t>
      </w:r>
      <w:r w:rsidR="00CD639D" w:rsidRPr="00863D9B">
        <w:t>par le Règlement n</w:t>
      </w:r>
      <w:r w:rsidR="00CD639D" w:rsidRPr="00863D9B">
        <w:rPr>
          <w:vertAlign w:val="superscript"/>
        </w:rPr>
        <w:t>o</w:t>
      </w:r>
      <w:r w:rsidR="00CD639D" w:rsidRPr="00863D9B">
        <w:t xml:space="preserve"> 5 de l’UEMOA </w:t>
      </w:r>
      <w:r w:rsidR="00444592" w:rsidRPr="00863D9B">
        <w:t xml:space="preserve">et par d’autres textes de lois spécifiques </w:t>
      </w:r>
      <w:r w:rsidRPr="00863D9B">
        <w:t>que l’Officier de Police judiciaire doit respecter sous peine de nullité du procès-verbal d’enquête</w:t>
      </w:r>
      <w:r w:rsidR="00444592" w:rsidRPr="00863D9B">
        <w:t>, fondement des poursuites</w:t>
      </w:r>
      <w:r w:rsidRPr="00863D9B">
        <w:t>.</w:t>
      </w:r>
    </w:p>
    <w:p w:rsidR="00444592" w:rsidRPr="00863D9B" w:rsidRDefault="00444592" w:rsidP="00375E50">
      <w:pPr>
        <w:pStyle w:val="Paragraphedeliste"/>
        <w:numPr>
          <w:ilvl w:val="0"/>
          <w:numId w:val="5"/>
        </w:numPr>
        <w:spacing w:line="360" w:lineRule="auto"/>
        <w:jc w:val="both"/>
        <w:rPr>
          <w:b/>
        </w:rPr>
      </w:pPr>
      <w:r w:rsidRPr="00863D9B">
        <w:rPr>
          <w:b/>
        </w:rPr>
        <w:t>Les nullités de l’instruction</w:t>
      </w:r>
    </w:p>
    <w:p w:rsidR="009235D9" w:rsidRPr="00863D9B" w:rsidRDefault="00444592" w:rsidP="00375E50">
      <w:pPr>
        <w:spacing w:line="360" w:lineRule="auto"/>
        <w:jc w:val="both"/>
      </w:pPr>
      <w:r w:rsidRPr="00863D9B">
        <w:t xml:space="preserve">Le siège de ces nullités se trouve aux articles 101 et 105 du code de procédure pénale prévoyant l’assistance d’un conseil aussi bien au stade de l’inculpation qu’au niveau de l’interrogatoire au fond. L’exposant a montré, exemples précis à l’appui, que le Juge d’instruction est tenu au respect des formalités prescrites à ces articles à peine de nullité de l’acte et de la procédure ultérieure (Cf. TGI Thiès, Affaire </w:t>
      </w:r>
      <w:proofErr w:type="spellStart"/>
      <w:r w:rsidRPr="00863D9B">
        <w:t>Ismaila</w:t>
      </w:r>
      <w:proofErr w:type="spellEnd"/>
      <w:r w:rsidRPr="00863D9B">
        <w:t xml:space="preserve"> BARRY et </w:t>
      </w:r>
      <w:proofErr w:type="spellStart"/>
      <w:r w:rsidRPr="00863D9B">
        <w:t>Mouhamedou</w:t>
      </w:r>
      <w:proofErr w:type="spellEnd"/>
      <w:r w:rsidRPr="00863D9B">
        <w:t xml:space="preserve"> CISSE, </w:t>
      </w:r>
      <w:r w:rsidR="00AD7052" w:rsidRPr="00863D9B">
        <w:t>affaire Abdoulaye THIOUNE et Issa SY, etc.).</w:t>
      </w:r>
    </w:p>
    <w:p w:rsidR="009235D9" w:rsidRPr="00863D9B" w:rsidRDefault="009235D9" w:rsidP="00375E50">
      <w:pPr>
        <w:spacing w:line="360" w:lineRule="auto"/>
        <w:jc w:val="both"/>
      </w:pPr>
      <w:r w:rsidRPr="00863D9B">
        <w:lastRenderedPageBreak/>
        <w:t xml:space="preserve">Après avoir </w:t>
      </w:r>
      <w:r w:rsidR="00940B5D" w:rsidRPr="00863D9B">
        <w:t xml:space="preserve">souligné </w:t>
      </w:r>
      <w:r w:rsidRPr="00863D9B">
        <w:t>que ces nullités expressément prévues par un texte protègent des formalités jugées essentielles, l’exposant a abordé la question des nullités dites substantielles qui peuvent, cette fois-ci être retenues même en l’absence d’une disposition explicite.</w:t>
      </w:r>
    </w:p>
    <w:p w:rsidR="009235D9" w:rsidRPr="00863D9B" w:rsidRDefault="009235D9" w:rsidP="00375E50">
      <w:pPr>
        <w:pStyle w:val="Paragraphedeliste"/>
        <w:numPr>
          <w:ilvl w:val="0"/>
          <w:numId w:val="4"/>
        </w:numPr>
        <w:spacing w:line="360" w:lineRule="auto"/>
        <w:jc w:val="both"/>
        <w:rPr>
          <w:b/>
        </w:rPr>
      </w:pPr>
      <w:r w:rsidRPr="00863D9B">
        <w:rPr>
          <w:b/>
        </w:rPr>
        <w:t>Les nullités substantielles</w:t>
      </w:r>
    </w:p>
    <w:p w:rsidR="00EF0E48" w:rsidRPr="00863D9B" w:rsidRDefault="00EF0E48" w:rsidP="00375E50">
      <w:pPr>
        <w:spacing w:line="360" w:lineRule="auto"/>
        <w:jc w:val="both"/>
      </w:pPr>
      <w:r w:rsidRPr="00863D9B">
        <w:t xml:space="preserve">Abordant la question des nullités substantielles, l’exposant a montré d’abord que, contrairement au droit civil, il n’y a pas une définition des nullités substantielles en matière </w:t>
      </w:r>
      <w:r w:rsidR="0074261B" w:rsidRPr="00863D9B">
        <w:t xml:space="preserve">pénale </w:t>
      </w:r>
      <w:r w:rsidRPr="00863D9B">
        <w:t xml:space="preserve">en précisant, toutefois, qu’on y range habituellement les nullités d’ordre public et </w:t>
      </w:r>
      <w:r w:rsidR="001D2266">
        <w:t>cel</w:t>
      </w:r>
      <w:r w:rsidRPr="00863D9B">
        <w:t>les</w:t>
      </w:r>
      <w:r w:rsidR="001D2266">
        <w:t xml:space="preserve"> liées aux </w:t>
      </w:r>
      <w:r w:rsidRPr="00863D9B">
        <w:t>droits de la défense. Poursuivant, il a évoqué une certaine réticence des Juridictions répressives à admettre la violation de ces formalités au stade de la phase policière contrairement à l’instruction.</w:t>
      </w:r>
    </w:p>
    <w:p w:rsidR="00EF0E48" w:rsidRPr="00863D9B" w:rsidRDefault="00EF0E48" w:rsidP="00375E50">
      <w:pPr>
        <w:pStyle w:val="Paragraphedeliste"/>
        <w:numPr>
          <w:ilvl w:val="0"/>
          <w:numId w:val="5"/>
        </w:numPr>
        <w:spacing w:line="360" w:lineRule="auto"/>
        <w:jc w:val="both"/>
        <w:rPr>
          <w:b/>
        </w:rPr>
      </w:pPr>
      <w:r w:rsidRPr="00863D9B">
        <w:rPr>
          <w:b/>
        </w:rPr>
        <w:t xml:space="preserve">Timidité de la jurisprudence relative aux nullités substantielles de l’enquête </w:t>
      </w:r>
    </w:p>
    <w:p w:rsidR="00EF0E48" w:rsidRPr="00863D9B" w:rsidRDefault="00127D00" w:rsidP="00375E50">
      <w:pPr>
        <w:spacing w:line="360" w:lineRule="auto"/>
        <w:jc w:val="both"/>
      </w:pPr>
      <w:r w:rsidRPr="00863D9B">
        <w:t xml:space="preserve">L’exposant a évoqué, ici, exemples à l’appui, un rejet quasi systématique des nullités consacrées par l’article 166 du code de procédure pénale (affaire </w:t>
      </w:r>
      <w:proofErr w:type="spellStart"/>
      <w:r w:rsidRPr="00863D9B">
        <w:t>Idrissa</w:t>
      </w:r>
      <w:proofErr w:type="spellEnd"/>
      <w:r w:rsidRPr="00863D9B">
        <w:t xml:space="preserve"> SECK, Affaire Cheikh DIOP alias </w:t>
      </w:r>
      <w:proofErr w:type="spellStart"/>
      <w:r w:rsidRPr="00863D9B">
        <w:t>Gattuso</w:t>
      </w:r>
      <w:proofErr w:type="spellEnd"/>
      <w:r w:rsidRPr="00863D9B">
        <w:t xml:space="preserve"> et autres). L’exposant a expliqué cet état d’esprit des Juges par le fait d’une part, que souvent la recherche de la vérité ne se trouve pas fondamentalement viciée par l’omission de la formalité et, d’autre part, que les victimes de l’abus pouvaient, en vertu de l’article 59 du code de procédure pénale intenter une action contre les Officiers de Police judiciaire.</w:t>
      </w:r>
    </w:p>
    <w:p w:rsidR="00127D00" w:rsidRPr="00863D9B" w:rsidRDefault="00127D00" w:rsidP="00375E50">
      <w:pPr>
        <w:pStyle w:val="Paragraphedeliste"/>
        <w:numPr>
          <w:ilvl w:val="0"/>
          <w:numId w:val="5"/>
        </w:numPr>
        <w:spacing w:line="360" w:lineRule="auto"/>
        <w:jc w:val="both"/>
        <w:rPr>
          <w:b/>
        </w:rPr>
      </w:pPr>
      <w:r w:rsidRPr="00863D9B">
        <w:rPr>
          <w:b/>
        </w:rPr>
        <w:t>Sanction de l’omission des formalités substantielles au niveau de l’instruction</w:t>
      </w:r>
    </w:p>
    <w:p w:rsidR="00BA0249" w:rsidRPr="00863D9B" w:rsidRDefault="00127D00" w:rsidP="00375E50">
      <w:pPr>
        <w:spacing w:line="360" w:lineRule="auto"/>
        <w:jc w:val="both"/>
      </w:pPr>
      <w:r w:rsidRPr="00863D9B">
        <w:t>Dans ce chapitre, l’exposant a montré que des juridictions ont eu à annuler des procédures pour violations de formalités dont l’accomplissement ne pouvait être négligé par le Juge d’</w:t>
      </w:r>
      <w:r w:rsidR="00AD6DD1" w:rsidRPr="00863D9B">
        <w:t xml:space="preserve">instruction : c’est le cas notamment de l’omission par le Juge de notifier à l’inculpé le montant des sommes dues en matière de détournement de deniers publics pour lui permettre de cautionner ou de rembourser (affaire Georges LAYOUSSE) ; c’est également l’hypothèse de la prise par le juge d’une ordonnance de règlement sans les réquisitions du Ministère public (affaire </w:t>
      </w:r>
      <w:proofErr w:type="spellStart"/>
      <w:r w:rsidR="00AD6DD1" w:rsidRPr="00863D9B">
        <w:t>Kamoko</w:t>
      </w:r>
      <w:proofErr w:type="spellEnd"/>
      <w:r w:rsidR="00AD6DD1" w:rsidRPr="00863D9B">
        <w:t xml:space="preserve"> CISSE et </w:t>
      </w:r>
      <w:proofErr w:type="spellStart"/>
      <w:r w:rsidR="00AD6DD1" w:rsidRPr="00863D9B">
        <w:t>Pédro</w:t>
      </w:r>
      <w:proofErr w:type="spellEnd"/>
      <w:r w:rsidR="00AD6DD1" w:rsidRPr="00863D9B">
        <w:t xml:space="preserve"> MANE)  ou encore d’une inculpation en dehors de la compétence matérielle (affaire </w:t>
      </w:r>
      <w:proofErr w:type="spellStart"/>
      <w:r w:rsidR="00AD6DD1" w:rsidRPr="00863D9B">
        <w:t>Badara</w:t>
      </w:r>
      <w:proofErr w:type="spellEnd"/>
      <w:r w:rsidR="00AD6DD1" w:rsidRPr="00863D9B">
        <w:t xml:space="preserve"> FALL), etc.</w:t>
      </w:r>
    </w:p>
    <w:p w:rsidR="00BA0249" w:rsidRPr="00863D9B" w:rsidRDefault="00BA0249" w:rsidP="00375E50">
      <w:pPr>
        <w:spacing w:line="360" w:lineRule="auto"/>
        <w:jc w:val="both"/>
      </w:pPr>
      <w:r w:rsidRPr="00863D9B">
        <w:t>Après cette présentation sur les différents types de nullités soulevées à l’audience, l’exposant a abordé les techniques de sauvegarde des procédures encourant l’annulation.</w:t>
      </w:r>
    </w:p>
    <w:p w:rsidR="00BA0249" w:rsidRPr="00863D9B" w:rsidRDefault="00BA0249" w:rsidP="00BD464C">
      <w:pPr>
        <w:pStyle w:val="Paragraphedeliste"/>
        <w:numPr>
          <w:ilvl w:val="0"/>
          <w:numId w:val="21"/>
        </w:numPr>
        <w:spacing w:line="360" w:lineRule="auto"/>
        <w:jc w:val="both"/>
        <w:rPr>
          <w:b/>
        </w:rPr>
      </w:pPr>
      <w:r w:rsidRPr="00863D9B">
        <w:rPr>
          <w:b/>
        </w:rPr>
        <w:t>Les techniques de sauvegarde des procédures encourant l’annulation</w:t>
      </w:r>
    </w:p>
    <w:p w:rsidR="00127D00" w:rsidRPr="00863D9B" w:rsidRDefault="008B58F8" w:rsidP="00375E50">
      <w:pPr>
        <w:spacing w:line="360" w:lineRule="auto"/>
        <w:jc w:val="both"/>
      </w:pPr>
      <w:r w:rsidRPr="00863D9B">
        <w:t xml:space="preserve">A ce niveau l’exposant a distingué les techniques de réparation </w:t>
      </w:r>
      <w:r w:rsidR="00E10835" w:rsidRPr="00863D9B">
        <w:t>(</w:t>
      </w:r>
      <w:r w:rsidR="00E10835" w:rsidRPr="00863D9B">
        <w:rPr>
          <w:b/>
        </w:rPr>
        <w:t>a</w:t>
      </w:r>
      <w:r w:rsidR="00E10835" w:rsidRPr="00863D9B">
        <w:t xml:space="preserve">) </w:t>
      </w:r>
      <w:r w:rsidRPr="00863D9B">
        <w:t>de celles dites de neutralisation</w:t>
      </w:r>
      <w:r w:rsidR="00E10835" w:rsidRPr="00863D9B">
        <w:t xml:space="preserve"> (</w:t>
      </w:r>
      <w:r w:rsidR="00E10835" w:rsidRPr="00863D9B">
        <w:rPr>
          <w:b/>
        </w:rPr>
        <w:t>b</w:t>
      </w:r>
      <w:r w:rsidR="00E10835" w:rsidRPr="00863D9B">
        <w:t>)</w:t>
      </w:r>
      <w:r w:rsidRPr="00863D9B">
        <w:t xml:space="preserve"> des nullités.</w:t>
      </w:r>
    </w:p>
    <w:p w:rsidR="00E10835" w:rsidRPr="00863D9B" w:rsidRDefault="00E10835" w:rsidP="00375E50">
      <w:pPr>
        <w:pStyle w:val="Paragraphedeliste"/>
        <w:numPr>
          <w:ilvl w:val="0"/>
          <w:numId w:val="7"/>
        </w:numPr>
        <w:spacing w:line="360" w:lineRule="auto"/>
        <w:jc w:val="both"/>
        <w:rPr>
          <w:b/>
        </w:rPr>
      </w:pPr>
      <w:r w:rsidRPr="00863D9B">
        <w:rPr>
          <w:b/>
        </w:rPr>
        <w:t>Les techniques de réparation</w:t>
      </w:r>
    </w:p>
    <w:p w:rsidR="00E10835" w:rsidRPr="00863D9B" w:rsidRDefault="00E10835" w:rsidP="00375E50">
      <w:pPr>
        <w:spacing w:line="360" w:lineRule="auto"/>
        <w:jc w:val="both"/>
      </w:pPr>
      <w:r w:rsidRPr="00863D9B">
        <w:t>Il s’agit de la renonciation et de la réfaction.</w:t>
      </w:r>
    </w:p>
    <w:p w:rsidR="00E10835" w:rsidRPr="00863D9B" w:rsidRDefault="00E10835" w:rsidP="00375E50">
      <w:pPr>
        <w:pStyle w:val="Paragraphedeliste"/>
        <w:numPr>
          <w:ilvl w:val="0"/>
          <w:numId w:val="5"/>
        </w:numPr>
        <w:spacing w:line="360" w:lineRule="auto"/>
        <w:jc w:val="both"/>
        <w:rPr>
          <w:b/>
        </w:rPr>
      </w:pPr>
      <w:r w:rsidRPr="00863D9B">
        <w:rPr>
          <w:b/>
        </w:rPr>
        <w:lastRenderedPageBreak/>
        <w:t>La renonciation</w:t>
      </w:r>
    </w:p>
    <w:p w:rsidR="00E10835" w:rsidRPr="00863D9B" w:rsidRDefault="00E10835" w:rsidP="00375E50">
      <w:pPr>
        <w:spacing w:line="360" w:lineRule="auto"/>
        <w:jc w:val="both"/>
      </w:pPr>
      <w:r w:rsidRPr="00863D9B">
        <w:t>Dans cette hypothèse, l’inculpé renonce expressément à se prévaloir de la nullité résultant, par exemple, de l’inobservation d’une formalité prescrite à peine de nullité (article 105, 164 CPP, etc.).</w:t>
      </w:r>
    </w:p>
    <w:p w:rsidR="00E10835" w:rsidRPr="00863D9B" w:rsidRDefault="00E10835" w:rsidP="00375E50">
      <w:pPr>
        <w:pStyle w:val="Paragraphedeliste"/>
        <w:numPr>
          <w:ilvl w:val="0"/>
          <w:numId w:val="5"/>
        </w:numPr>
        <w:spacing w:line="360" w:lineRule="auto"/>
        <w:jc w:val="both"/>
      </w:pPr>
      <w:r w:rsidRPr="00863D9B">
        <w:rPr>
          <w:b/>
        </w:rPr>
        <w:t>La réfaction de l’acte irrégulier</w:t>
      </w:r>
      <w:r w:rsidR="006C0DEE" w:rsidRPr="00863D9B">
        <w:t xml:space="preserve"> (articles 147, 165 CPP).</w:t>
      </w:r>
    </w:p>
    <w:p w:rsidR="006C0DEE" w:rsidRPr="00863D9B" w:rsidRDefault="006C0DEE" w:rsidP="00375E50">
      <w:pPr>
        <w:spacing w:line="360" w:lineRule="auto"/>
        <w:jc w:val="both"/>
      </w:pPr>
      <w:r w:rsidRPr="00863D9B">
        <w:t xml:space="preserve">Dans ces cas précis, le Juge d’instruction qui constate qu’un acte </w:t>
      </w:r>
      <w:r w:rsidR="008B6D63" w:rsidRPr="00863D9B">
        <w:t xml:space="preserve">de l’instruction </w:t>
      </w:r>
      <w:r w:rsidRPr="00863D9B">
        <w:t>est entaché de nullité</w:t>
      </w:r>
      <w:r w:rsidR="008B6D63" w:rsidRPr="00863D9B">
        <w:t>, saisit, par voie de requête, la Chambre d’accusation aux fins d’annulation de l’acte vicié (Cf. affaire Jean MENDY).</w:t>
      </w:r>
    </w:p>
    <w:p w:rsidR="008B6D63" w:rsidRPr="00863D9B" w:rsidRDefault="006C0DEE" w:rsidP="00375E50">
      <w:pPr>
        <w:pStyle w:val="Paragraphedeliste"/>
        <w:numPr>
          <w:ilvl w:val="0"/>
          <w:numId w:val="7"/>
        </w:numPr>
        <w:spacing w:line="360" w:lineRule="auto"/>
        <w:jc w:val="both"/>
        <w:rPr>
          <w:b/>
        </w:rPr>
      </w:pPr>
      <w:r w:rsidRPr="00863D9B">
        <w:rPr>
          <w:b/>
        </w:rPr>
        <w:t>Les techniques de neutralisation</w:t>
      </w:r>
    </w:p>
    <w:p w:rsidR="008B6D63" w:rsidRPr="00863D9B" w:rsidRDefault="00E30912" w:rsidP="00375E50">
      <w:pPr>
        <w:spacing w:line="360" w:lineRule="auto"/>
        <w:jc w:val="both"/>
      </w:pPr>
      <w:r w:rsidRPr="00863D9B">
        <w:t>Il s’agit de la purge des vices et de l’anéantissement de l’acte irrégulier.</w:t>
      </w:r>
    </w:p>
    <w:p w:rsidR="00E30912" w:rsidRPr="00863D9B" w:rsidRDefault="00E30912" w:rsidP="00375E50">
      <w:pPr>
        <w:pStyle w:val="Paragraphedeliste"/>
        <w:numPr>
          <w:ilvl w:val="0"/>
          <w:numId w:val="5"/>
        </w:numPr>
        <w:spacing w:line="360" w:lineRule="auto"/>
        <w:jc w:val="both"/>
      </w:pPr>
      <w:r w:rsidRPr="00863D9B">
        <w:rPr>
          <w:b/>
        </w:rPr>
        <w:t>La purge des vices</w:t>
      </w:r>
      <w:r w:rsidRPr="00863D9B">
        <w:t xml:space="preserve"> a pour effet de limiter les procédures dilatoires relativement à des erreurs purement formelles. Ainsi, à la faveur de la survivance de l’article 557 du code de procédure pénale, lorsque la Chambre criminelle a été saisie par un arrêt de renvoi de la Chambre d’accusation, tous les vices antérieurs entachant l’instruction sont purgés.</w:t>
      </w:r>
    </w:p>
    <w:p w:rsidR="006C0DEE" w:rsidRPr="00863D9B" w:rsidRDefault="00AA29D5" w:rsidP="00375E50">
      <w:pPr>
        <w:pStyle w:val="Paragraphedeliste"/>
        <w:numPr>
          <w:ilvl w:val="0"/>
          <w:numId w:val="5"/>
        </w:numPr>
        <w:spacing w:line="360" w:lineRule="auto"/>
        <w:jc w:val="both"/>
      </w:pPr>
      <w:r w:rsidRPr="00863D9B">
        <w:rPr>
          <w:b/>
        </w:rPr>
        <w:t>L’anéantissement</w:t>
      </w:r>
      <w:r w:rsidR="0074261B" w:rsidRPr="00863D9B">
        <w:rPr>
          <w:b/>
        </w:rPr>
        <w:t xml:space="preserve"> </w:t>
      </w:r>
      <w:r w:rsidR="00E30912" w:rsidRPr="00863D9B">
        <w:rPr>
          <w:b/>
        </w:rPr>
        <w:t>ou l’invalidation</w:t>
      </w:r>
      <w:r w:rsidR="00E30912" w:rsidRPr="00863D9B">
        <w:t xml:space="preserve"> </w:t>
      </w:r>
      <w:r w:rsidR="00E30912" w:rsidRPr="00863D9B">
        <w:rPr>
          <w:b/>
        </w:rPr>
        <w:t>de l’acte irrégulier</w:t>
      </w:r>
      <w:r w:rsidR="009B7B8A" w:rsidRPr="00863D9B">
        <w:t xml:space="preserve"> </w:t>
      </w:r>
      <w:r w:rsidR="0074261B" w:rsidRPr="00863D9B">
        <w:t xml:space="preserve">se conçoit </w:t>
      </w:r>
      <w:r w:rsidR="009B7B8A" w:rsidRPr="00863D9B">
        <w:t>lorsque le Procureur de la République, le Juge d’instruction ou les parties saisissent la Chambre la Chambre d’accusation</w:t>
      </w:r>
      <w:r w:rsidRPr="00863D9B">
        <w:t>, avant le règlement de la procédure, d’une requête aux fins d’annulation des actes viciés.</w:t>
      </w:r>
    </w:p>
    <w:p w:rsidR="00E713A0" w:rsidRPr="00863D9B" w:rsidRDefault="00AA29D5" w:rsidP="00375E50">
      <w:pPr>
        <w:spacing w:line="360" w:lineRule="auto"/>
        <w:jc w:val="both"/>
      </w:pPr>
      <w:r w:rsidRPr="00863D9B">
        <w:t>A la suite de ce rappel théorique sur les nullités et les procédures de sauvegarde, il a été question d’un examen de la jurisprudence avec des cas concrets relatifs au traitement</w:t>
      </w:r>
      <w:r w:rsidR="0074261B" w:rsidRPr="00863D9B">
        <w:t xml:space="preserve"> des procédures entachées d’irrégularité</w:t>
      </w:r>
      <w:r w:rsidRPr="00863D9B">
        <w:t>s.</w:t>
      </w:r>
    </w:p>
    <w:p w:rsidR="00E713A0" w:rsidRPr="00863D9B" w:rsidRDefault="00304E74" w:rsidP="00304E74">
      <w:pPr>
        <w:pStyle w:val="Paragraphedeliste"/>
        <w:numPr>
          <w:ilvl w:val="1"/>
          <w:numId w:val="14"/>
        </w:numPr>
        <w:spacing w:line="360" w:lineRule="auto"/>
        <w:jc w:val="both"/>
        <w:rPr>
          <w:b/>
        </w:rPr>
      </w:pPr>
      <w:r w:rsidRPr="00863D9B">
        <w:rPr>
          <w:b/>
        </w:rPr>
        <w:t>L’état de la jurisprudence des chambres criminelles </w:t>
      </w:r>
      <w:r w:rsidR="00060AFB" w:rsidRPr="00863D9B">
        <w:rPr>
          <w:b/>
        </w:rPr>
        <w:t>d</w:t>
      </w:r>
      <w:r w:rsidRPr="00863D9B">
        <w:rPr>
          <w:b/>
        </w:rPr>
        <w:t xml:space="preserve">u </w:t>
      </w:r>
      <w:r w:rsidR="00060AFB" w:rsidRPr="00863D9B">
        <w:rPr>
          <w:b/>
        </w:rPr>
        <w:t>ressort de Dakar</w:t>
      </w:r>
      <w:r w:rsidRPr="00863D9B">
        <w:rPr>
          <w:b/>
        </w:rPr>
        <w:t xml:space="preserve"> </w:t>
      </w:r>
      <w:r w:rsidR="00514D5C">
        <w:rPr>
          <w:b/>
        </w:rPr>
        <w:t>sur les</w:t>
      </w:r>
      <w:r w:rsidRPr="00863D9B">
        <w:rPr>
          <w:b/>
        </w:rPr>
        <w:t xml:space="preserve"> nullités de procédures</w:t>
      </w:r>
    </w:p>
    <w:p w:rsidR="00C67095" w:rsidRPr="00863D9B" w:rsidRDefault="00060AFB" w:rsidP="00375E50">
      <w:pPr>
        <w:spacing w:line="360" w:lineRule="auto"/>
        <w:jc w:val="both"/>
      </w:pPr>
      <w:r w:rsidRPr="00863D9B">
        <w:t xml:space="preserve">Cette thématique dont l’objectif était surtout de voir, à partir d’exemples pratiques, l’attitude des Juges face aux exceptions de nullité, a été présentée par le Substitut général  près la Cour d’Appel de Dakar </w:t>
      </w:r>
      <w:proofErr w:type="spellStart"/>
      <w:r w:rsidRPr="00863D9B">
        <w:t>Madiaw</w:t>
      </w:r>
      <w:proofErr w:type="spellEnd"/>
      <w:r w:rsidRPr="00863D9B">
        <w:t xml:space="preserve"> DIAW.</w:t>
      </w:r>
      <w:r w:rsidR="006268BE" w:rsidRPr="00863D9B">
        <w:t xml:space="preserve"> </w:t>
      </w:r>
    </w:p>
    <w:p w:rsidR="00060AFB" w:rsidRPr="00863D9B" w:rsidRDefault="006268BE" w:rsidP="00375E50">
      <w:pPr>
        <w:spacing w:line="360" w:lineRule="auto"/>
        <w:jc w:val="both"/>
      </w:pPr>
      <w:r w:rsidRPr="00863D9B">
        <w:t>Après avoir rappelé les différentes réformes législatives ayant abouti à l’institution des Chambres criminelles (lois n</w:t>
      </w:r>
      <w:r w:rsidRPr="00863D9B">
        <w:rPr>
          <w:vertAlign w:val="superscript"/>
        </w:rPr>
        <w:t>o</w:t>
      </w:r>
      <w:r w:rsidRPr="00863D9B">
        <w:t xml:space="preserve"> 2008-50 du 23 septembre 2008 ayant permis, pour la première aux Juges d’instruction de saisir directement la Cour d’Assise par une ordonnance de mise en accusation, 2014-28 du 03 novembre 2014 supprimant les Cour d’assise et instituant les Chambres criminelles statuant par sessions et, enfin, la loi n</w:t>
      </w:r>
      <w:r w:rsidRPr="00863D9B">
        <w:rPr>
          <w:vertAlign w:val="superscript"/>
        </w:rPr>
        <w:t>o</w:t>
      </w:r>
      <w:r w:rsidRPr="00863D9B">
        <w:t xml:space="preserve"> 2016-30 du 8 novembre 2016</w:t>
      </w:r>
      <w:r w:rsidR="00C67095" w:rsidRPr="00863D9B">
        <w:t xml:space="preserve"> instituant la permanence des audiences criminelles), l’exposant a procédé à la présentation de cas pratiques </w:t>
      </w:r>
      <w:r w:rsidR="00C67095" w:rsidRPr="00863D9B">
        <w:rPr>
          <w:b/>
        </w:rPr>
        <w:t>(</w:t>
      </w:r>
      <w:r w:rsidR="006279B1">
        <w:rPr>
          <w:b/>
        </w:rPr>
        <w:t>A</w:t>
      </w:r>
      <w:r w:rsidR="00C67095" w:rsidRPr="00863D9B">
        <w:rPr>
          <w:b/>
        </w:rPr>
        <w:t xml:space="preserve">) </w:t>
      </w:r>
      <w:r w:rsidR="00C67095" w:rsidRPr="00863D9B">
        <w:t xml:space="preserve">puis à une appréciation de la jurisprudence produite </w:t>
      </w:r>
      <w:r w:rsidR="00C67095" w:rsidRPr="00863D9B">
        <w:rPr>
          <w:b/>
        </w:rPr>
        <w:t>(</w:t>
      </w:r>
      <w:r w:rsidR="006279B1">
        <w:rPr>
          <w:b/>
        </w:rPr>
        <w:t>B</w:t>
      </w:r>
      <w:r w:rsidR="00C67095" w:rsidRPr="00863D9B">
        <w:rPr>
          <w:b/>
        </w:rPr>
        <w:t>)</w:t>
      </w:r>
      <w:r w:rsidR="00C67095" w:rsidRPr="00863D9B">
        <w:t>.</w:t>
      </w:r>
    </w:p>
    <w:p w:rsidR="00B66D1F" w:rsidRPr="00863D9B" w:rsidRDefault="00B66D1F" w:rsidP="00863D9B">
      <w:pPr>
        <w:pStyle w:val="Paragraphedeliste"/>
        <w:numPr>
          <w:ilvl w:val="0"/>
          <w:numId w:val="28"/>
        </w:numPr>
        <w:spacing w:line="360" w:lineRule="auto"/>
        <w:jc w:val="both"/>
        <w:rPr>
          <w:b/>
        </w:rPr>
      </w:pPr>
      <w:r w:rsidRPr="00863D9B">
        <w:rPr>
          <w:b/>
        </w:rPr>
        <w:lastRenderedPageBreak/>
        <w:t>Exposé de quelques cas pratiques</w:t>
      </w:r>
      <w:r w:rsidR="00653825">
        <w:rPr>
          <w:b/>
        </w:rPr>
        <w:t xml:space="preserve"> rencontrés</w:t>
      </w:r>
    </w:p>
    <w:p w:rsidR="004F5F5F" w:rsidRPr="00863D9B" w:rsidRDefault="00B66D1F" w:rsidP="00375E50">
      <w:pPr>
        <w:spacing w:line="360" w:lineRule="auto"/>
        <w:jc w:val="both"/>
      </w:pPr>
      <w:r w:rsidRPr="00863D9B">
        <w:t xml:space="preserve">Dans cette partie, l’exposant a présenté des cas de nullité rencontrés par la chambre criminelle de Dakar entre 2016 et 2017. Deux cas d’annulation pour violation par le Juge d’instruction de l’article 101 du code de procédure pénale ont notamment retenu l’attention. La première concerne Baye </w:t>
      </w:r>
      <w:proofErr w:type="spellStart"/>
      <w:r w:rsidRPr="00863D9B">
        <w:t>Modou</w:t>
      </w:r>
      <w:proofErr w:type="spellEnd"/>
      <w:r w:rsidRPr="00863D9B">
        <w:t xml:space="preserve"> FALL alias Boy </w:t>
      </w:r>
      <w:proofErr w:type="spellStart"/>
      <w:r w:rsidRPr="00863D9B">
        <w:t>Djinné</w:t>
      </w:r>
      <w:proofErr w:type="spellEnd"/>
      <w:r w:rsidR="004F5F5F" w:rsidRPr="00863D9B">
        <w:t xml:space="preserve"> (audience du 07 aout 2017)</w:t>
      </w:r>
      <w:r w:rsidRPr="00863D9B">
        <w:t>. Dans cette affaire, la Chambre criminelle a annulé le procès-verbal d’interrogatoire de première comparution duquel il ne résultait</w:t>
      </w:r>
      <w:r w:rsidR="001D2266">
        <w:t xml:space="preserve"> pas </w:t>
      </w:r>
      <w:r w:rsidR="00486FFB" w:rsidRPr="00863D9B">
        <w:t xml:space="preserve">que l’inculpation a été faite en présence du conseil de l’inculpé. </w:t>
      </w:r>
    </w:p>
    <w:p w:rsidR="00B66D1F" w:rsidRPr="00863D9B" w:rsidRDefault="00486FFB" w:rsidP="00375E50">
      <w:pPr>
        <w:spacing w:line="360" w:lineRule="auto"/>
        <w:jc w:val="both"/>
      </w:pPr>
      <w:r w:rsidRPr="00863D9B">
        <w:t xml:space="preserve">La seconde affaire concerne </w:t>
      </w:r>
      <w:r w:rsidR="004F5F5F" w:rsidRPr="00863D9B">
        <w:t>l</w:t>
      </w:r>
      <w:r w:rsidRPr="00863D9B">
        <w:t xml:space="preserve">es nommés Samba </w:t>
      </w:r>
      <w:proofErr w:type="spellStart"/>
      <w:r w:rsidRPr="00863D9B">
        <w:t>Sarr</w:t>
      </w:r>
      <w:proofErr w:type="spellEnd"/>
      <w:r w:rsidRPr="00863D9B">
        <w:t xml:space="preserve"> DIA, Abdoulaye FALL et Amadou NDIAYE</w:t>
      </w:r>
      <w:r w:rsidR="004F5F5F" w:rsidRPr="00863D9B">
        <w:t xml:space="preserve"> (audience du 21 aout 2017)</w:t>
      </w:r>
      <w:r w:rsidRPr="00863D9B">
        <w:t>.</w:t>
      </w:r>
      <w:r w:rsidR="004F5F5F" w:rsidRPr="00863D9B">
        <w:t xml:space="preserve"> Ici, la Chambre criminelle a procédé à une annulation partielle au profit de </w:t>
      </w:r>
      <w:r w:rsidR="000F71A2" w:rsidRPr="00863D9B">
        <w:t xml:space="preserve">Samba </w:t>
      </w:r>
      <w:proofErr w:type="spellStart"/>
      <w:r w:rsidR="000F71A2" w:rsidRPr="00863D9B">
        <w:t>Sarr</w:t>
      </w:r>
      <w:proofErr w:type="spellEnd"/>
      <w:r w:rsidR="000F71A2" w:rsidRPr="00863D9B">
        <w:t xml:space="preserve"> DIA dont les droits reconnus à l’article </w:t>
      </w:r>
      <w:r w:rsidR="000F71A2" w:rsidRPr="00863D9B">
        <w:rPr>
          <w:b/>
        </w:rPr>
        <w:t>101</w:t>
      </w:r>
      <w:r w:rsidR="000F71A2" w:rsidRPr="00863D9B">
        <w:t xml:space="preserve"> précité n’ont pas été respectés.</w:t>
      </w:r>
    </w:p>
    <w:p w:rsidR="00462046" w:rsidRPr="00863D9B" w:rsidRDefault="00D90F83" w:rsidP="00462046">
      <w:pPr>
        <w:spacing w:line="360" w:lineRule="auto"/>
        <w:jc w:val="both"/>
      </w:pPr>
      <w:r w:rsidRPr="00863D9B">
        <w:t xml:space="preserve">Au chapitre de l’article </w:t>
      </w:r>
      <w:r w:rsidRPr="00863D9B">
        <w:rPr>
          <w:b/>
        </w:rPr>
        <w:t>105</w:t>
      </w:r>
      <w:r w:rsidRPr="00863D9B">
        <w:t xml:space="preserve"> du code de procédure pénale, l’exposant a également présenté deux jugements de la Chambre criminelle annulant la procédure pour violation des droits de la défense. Il s’agit des affaires concernant Mamadou </w:t>
      </w:r>
      <w:proofErr w:type="spellStart"/>
      <w:r w:rsidRPr="00863D9B">
        <w:t>Mafall</w:t>
      </w:r>
      <w:proofErr w:type="spellEnd"/>
      <w:r w:rsidRPr="00863D9B">
        <w:t xml:space="preserve"> THIAM (audience du 11 septembre 2017) </w:t>
      </w:r>
      <w:r w:rsidR="00462046" w:rsidRPr="00863D9B">
        <w:t xml:space="preserve">et Emmanuel DASSYLVA </w:t>
      </w:r>
      <w:r w:rsidR="00AD0EF7" w:rsidRPr="00863D9B">
        <w:t xml:space="preserve">(audience du 03 octobre 2017) </w:t>
      </w:r>
      <w:r w:rsidR="00462046" w:rsidRPr="00863D9B">
        <w:t xml:space="preserve">où la Chambre a annulé en constatant que les inculpés avaient été entendus au fond sans la présence de leurs conseils dument avisés. </w:t>
      </w:r>
    </w:p>
    <w:p w:rsidR="00462046" w:rsidRPr="00DB5AF3" w:rsidRDefault="00462046" w:rsidP="00DB5AF3">
      <w:pPr>
        <w:pStyle w:val="Paragraphedeliste"/>
        <w:numPr>
          <w:ilvl w:val="0"/>
          <w:numId w:val="28"/>
        </w:numPr>
        <w:spacing w:line="360" w:lineRule="auto"/>
        <w:jc w:val="both"/>
        <w:rPr>
          <w:b/>
        </w:rPr>
      </w:pPr>
      <w:r w:rsidRPr="00DB5AF3">
        <w:rPr>
          <w:b/>
        </w:rPr>
        <w:t xml:space="preserve"> Analyse critique des décisions exposées</w:t>
      </w:r>
    </w:p>
    <w:p w:rsidR="00C8161F" w:rsidRPr="00863D9B" w:rsidRDefault="00A5419A" w:rsidP="00375E50">
      <w:pPr>
        <w:spacing w:line="360" w:lineRule="auto"/>
        <w:jc w:val="both"/>
      </w:pPr>
      <w:r w:rsidRPr="00863D9B">
        <w:t xml:space="preserve">Procédant à l’analyse des décisions annulant, sur la base de l’article 164 du code de procédure pénale, la procédure pour omission des formalités prescrites, à peine de nullité, par les articles 101 et 105 précités, le présentateur a sollicité un changement de posture du </w:t>
      </w:r>
      <w:r w:rsidR="00A15A96" w:rsidRPr="00863D9B">
        <w:t>côté</w:t>
      </w:r>
      <w:r w:rsidRPr="00863D9B">
        <w:t xml:space="preserve"> de la Chambre criminelle pour une bonne lecture de l’article 105. En effet, dès lors qu’il résultait des </w:t>
      </w:r>
      <w:r w:rsidR="00A15A96" w:rsidRPr="00863D9B">
        <w:t>procès-verbaux</w:t>
      </w:r>
      <w:r w:rsidRPr="00863D9B">
        <w:t xml:space="preserve"> d’interrogatoire au fond que les conseils bien qu’absents avaient été régulièrement convoqués, l’article 105 n’avait pas été violé. </w:t>
      </w:r>
    </w:p>
    <w:p w:rsidR="006C0DEE" w:rsidRPr="00863D9B" w:rsidRDefault="00A5419A" w:rsidP="00375E50">
      <w:pPr>
        <w:spacing w:line="360" w:lineRule="auto"/>
        <w:jc w:val="both"/>
      </w:pPr>
      <w:r w:rsidRPr="00863D9B">
        <w:t xml:space="preserve">De </w:t>
      </w:r>
      <w:r w:rsidR="00F52ECF" w:rsidRPr="00863D9B">
        <w:t>même</w:t>
      </w:r>
      <w:r w:rsidRPr="00863D9B">
        <w:t>, l’exposant a souligné qu’il est arrivé que la Chambre bien qu’ayant procédé à une annulation partielle (au profit d’un des accusés) n’aille pas jusqu’au bout, se contentant de renvoyer le Ministère public à mieux se pourvoir alors qu’une bonne analyse des textes commande que la Juridiction puisse retenir et jugés les accusés dont la procédure n’était entaché d’aucun vice.</w:t>
      </w:r>
    </w:p>
    <w:p w:rsidR="00D5456F" w:rsidRPr="00863D9B" w:rsidRDefault="00D5456F" w:rsidP="00375E50">
      <w:pPr>
        <w:spacing w:line="360" w:lineRule="auto"/>
        <w:jc w:val="both"/>
      </w:pPr>
      <w:r w:rsidRPr="00863D9B">
        <w:t>C’est à la suite de ces exposés qu’il a été procédé à un tour de table pour une large discussion sur les différents problèmes rencontrés</w:t>
      </w:r>
      <w:r w:rsidR="00CA6B6E" w:rsidRPr="00863D9B">
        <w:t xml:space="preserve"> et les solutions apportées</w:t>
      </w:r>
      <w:r w:rsidRPr="00863D9B">
        <w:t>.</w:t>
      </w:r>
    </w:p>
    <w:p w:rsidR="00817613" w:rsidRDefault="00817613" w:rsidP="00375E50">
      <w:pPr>
        <w:spacing w:line="360" w:lineRule="auto"/>
        <w:jc w:val="both"/>
      </w:pPr>
    </w:p>
    <w:p w:rsidR="00F12828" w:rsidRDefault="00F12828" w:rsidP="00375E50">
      <w:pPr>
        <w:spacing w:line="360" w:lineRule="auto"/>
        <w:jc w:val="both"/>
      </w:pPr>
    </w:p>
    <w:p w:rsidR="00F12828" w:rsidRPr="00863D9B" w:rsidRDefault="00F12828" w:rsidP="00375E50">
      <w:pPr>
        <w:spacing w:line="360" w:lineRule="auto"/>
        <w:jc w:val="both"/>
      </w:pPr>
    </w:p>
    <w:p w:rsidR="00CA6B6E" w:rsidRPr="00F12828" w:rsidRDefault="00D5456F" w:rsidP="00F12828">
      <w:pPr>
        <w:pStyle w:val="Paragraphedeliste"/>
        <w:numPr>
          <w:ilvl w:val="0"/>
          <w:numId w:val="13"/>
        </w:numPr>
        <w:spacing w:line="360" w:lineRule="auto"/>
        <w:jc w:val="both"/>
        <w:rPr>
          <w:b/>
        </w:rPr>
      </w:pPr>
      <w:r w:rsidRPr="00F12828">
        <w:rPr>
          <w:b/>
        </w:rPr>
        <w:lastRenderedPageBreak/>
        <w:t xml:space="preserve">Discussion </w:t>
      </w:r>
      <w:r w:rsidR="00F12828" w:rsidRPr="00F12828">
        <w:rPr>
          <w:b/>
        </w:rPr>
        <w:t>générale et synthèse des travaux</w:t>
      </w:r>
    </w:p>
    <w:p w:rsidR="00552DFE" w:rsidRPr="00863D9B" w:rsidRDefault="00CA6B6E" w:rsidP="00CA6B6E">
      <w:pPr>
        <w:spacing w:line="360" w:lineRule="auto"/>
        <w:jc w:val="both"/>
      </w:pPr>
      <w:r w:rsidRPr="00863D9B">
        <w:t xml:space="preserve">Les débats ont porté essentiellement sur l’étendue de la nullité, le caractère substantiel de certaines formalités omises, le problème de la disponibilité des avocats et la transmission des convocations, le délai de traitement des dossiers communiqués au Parquet </w:t>
      </w:r>
      <w:r w:rsidR="00552DFE" w:rsidRPr="00863D9B">
        <w:t xml:space="preserve">en vue d’un règlement définitif, </w:t>
      </w:r>
      <w:r w:rsidRPr="00863D9B">
        <w:t>la situation de la personne détenue après annulation de la procédure, la reprise par le Ministère public des procédures annulées</w:t>
      </w:r>
      <w:r w:rsidR="00552DFE" w:rsidRPr="00863D9B">
        <w:t xml:space="preserve"> ainsi que la question de la réparation des dossiers entachés de vice avant l’ordonnance de mise en accusation et de renvoi.</w:t>
      </w:r>
    </w:p>
    <w:p w:rsidR="00552DFE" w:rsidRPr="00863D9B" w:rsidRDefault="00552DFE" w:rsidP="00552DFE">
      <w:pPr>
        <w:spacing w:line="360" w:lineRule="auto"/>
        <w:jc w:val="both"/>
      </w:pPr>
      <w:r w:rsidRPr="00863D9B">
        <w:t xml:space="preserve">Prenant la parole, le Substitut général </w:t>
      </w:r>
      <w:proofErr w:type="spellStart"/>
      <w:r w:rsidRPr="00863D9B">
        <w:t>Youssoupha</w:t>
      </w:r>
      <w:proofErr w:type="spellEnd"/>
      <w:r w:rsidRPr="00863D9B">
        <w:t xml:space="preserve"> DIALLO  est revenu sur la portée de l’annulation en montrant, par exemple que ce n’était pas parce qu’un acte de l’instruction était frappé de nullité que toute la procédure devrait s’écrouler à l’audience et que les Juges devraient au cas par cas, décider de l’étendue de l’annulation.</w:t>
      </w:r>
    </w:p>
    <w:p w:rsidR="00552DFE" w:rsidRPr="00863D9B" w:rsidRDefault="00E8052F" w:rsidP="00552DFE">
      <w:pPr>
        <w:spacing w:line="360" w:lineRule="auto"/>
        <w:jc w:val="both"/>
      </w:pPr>
      <w:r w:rsidRPr="00863D9B">
        <w:t xml:space="preserve">Emboitant le pas à </w:t>
      </w:r>
      <w:r w:rsidR="00552DFE" w:rsidRPr="00863D9B">
        <w:t>son collègue</w:t>
      </w:r>
      <w:r w:rsidRPr="00863D9B">
        <w:t xml:space="preserve"> du Parquet général, </w:t>
      </w:r>
      <w:proofErr w:type="spellStart"/>
      <w:r w:rsidRPr="00863D9B">
        <w:t>Madiaw</w:t>
      </w:r>
      <w:proofErr w:type="spellEnd"/>
      <w:r w:rsidRPr="00863D9B">
        <w:t xml:space="preserve"> DIAW a déploré le fait, par exemple, </w:t>
      </w:r>
      <w:r w:rsidR="00552DFE" w:rsidRPr="00863D9B">
        <w:t>que</w:t>
      </w:r>
      <w:r w:rsidRPr="00863D9B">
        <w:t xml:space="preserve">, dans l’affaire concernant Samba </w:t>
      </w:r>
      <w:proofErr w:type="spellStart"/>
      <w:r w:rsidRPr="00863D9B">
        <w:t>Sarr</w:t>
      </w:r>
      <w:proofErr w:type="spellEnd"/>
      <w:r w:rsidRPr="00863D9B">
        <w:t xml:space="preserve"> DIA, Abdoulaye FALL et Amadou NDIAYE, la Chambre criminelle se contentât, après avoir annulé la procédure relativement à Samba </w:t>
      </w:r>
      <w:proofErr w:type="spellStart"/>
      <w:r w:rsidRPr="00863D9B">
        <w:t>Sarr</w:t>
      </w:r>
      <w:proofErr w:type="spellEnd"/>
      <w:r w:rsidRPr="00863D9B">
        <w:t xml:space="preserve"> DIA pour violation de l’article 105 CPP, </w:t>
      </w:r>
      <w:r w:rsidR="00552DFE" w:rsidRPr="00863D9B">
        <w:t xml:space="preserve"> </w:t>
      </w:r>
      <w:r w:rsidRPr="00863D9B">
        <w:t>de renvoyer le Parquet à mieux se pourvoir sans se prononcer sur le cas des co-accusés dont la procédure était pourtant régulière.</w:t>
      </w:r>
    </w:p>
    <w:p w:rsidR="00681E11" w:rsidRPr="00863D9B" w:rsidRDefault="00681E11" w:rsidP="00552DFE">
      <w:pPr>
        <w:spacing w:line="360" w:lineRule="auto"/>
        <w:jc w:val="both"/>
      </w:pPr>
      <w:r w:rsidRPr="00863D9B">
        <w:t xml:space="preserve">Abordant la question du caractère substantiel de certaines formalités omises, les Juges d’instruction </w:t>
      </w:r>
      <w:proofErr w:type="spellStart"/>
      <w:r w:rsidRPr="00863D9B">
        <w:t>Makha</w:t>
      </w:r>
      <w:proofErr w:type="spellEnd"/>
      <w:r w:rsidRPr="00863D9B">
        <w:t xml:space="preserve"> BARRY et Augustin DIOUF ont appelé à une lecture souple de certaines nullités qui ne sont pas d’ordre public en exigeant, par exemple, comme le fait le législateur français à travers l’</w:t>
      </w:r>
      <w:r w:rsidR="002D55D7" w:rsidRPr="00863D9B">
        <w:t>article 803 du co</w:t>
      </w:r>
      <w:r w:rsidRPr="00863D9B">
        <w:t>de de procédure pénale, la preuve d’un grief et à rejeter les exceptions dès lors qu’il était possible, à la lecture du dossier, de considérer que l’objet de la formalité a été rempli.</w:t>
      </w:r>
    </w:p>
    <w:p w:rsidR="002D55D7" w:rsidRPr="00863D9B" w:rsidRDefault="002D55D7" w:rsidP="00552DFE">
      <w:pPr>
        <w:spacing w:line="360" w:lineRule="auto"/>
        <w:jc w:val="both"/>
      </w:pPr>
      <w:r w:rsidRPr="00863D9B">
        <w:t xml:space="preserve">Emboitant le pas à ses collègues, le Doyen des Juges d’instruction a insisté sur le problème de la disponibilité des avocats aussi bien au stade de la première </w:t>
      </w:r>
      <w:r w:rsidR="00432848" w:rsidRPr="00863D9B">
        <w:t xml:space="preserve">comparution </w:t>
      </w:r>
      <w:r w:rsidRPr="00863D9B">
        <w:t>que de l’interrogatoire au fond</w:t>
      </w:r>
      <w:r w:rsidR="00432848" w:rsidRPr="00863D9B">
        <w:t xml:space="preserve"> d’autant plus, précise le Juge </w:t>
      </w:r>
      <w:proofErr w:type="spellStart"/>
      <w:r w:rsidR="00432848" w:rsidRPr="00863D9B">
        <w:t>Yakham</w:t>
      </w:r>
      <w:proofErr w:type="spellEnd"/>
      <w:r w:rsidR="00432848" w:rsidRPr="00863D9B">
        <w:t xml:space="preserve"> LEYE chargé du 2</w:t>
      </w:r>
      <w:r w:rsidR="00432848" w:rsidRPr="00863D9B">
        <w:rPr>
          <w:vertAlign w:val="superscript"/>
        </w:rPr>
        <w:t>ème</w:t>
      </w:r>
      <w:r w:rsidR="00432848" w:rsidRPr="00863D9B">
        <w:t xml:space="preserve"> Cabinet, qu’il arrive que le Juge soit dans l’extrême urgence surtout quand il doit, comme l’exige l’article 101 attendre l’avocat pendant 24 heures et qu’il a en face de lui une personne malade ou dont la prise en charge requiert des diligences particulières, raison pour laquelle il est habituel de voir dans les régions que les Juges mentionnent souvent avoir téléphoniquement avisé l’avocat qui consent à l’inculpation ou à l’interrogation en son absence.</w:t>
      </w:r>
    </w:p>
    <w:p w:rsidR="00A90345" w:rsidRPr="00863D9B" w:rsidRDefault="004B35F7" w:rsidP="00552DFE">
      <w:pPr>
        <w:spacing w:line="360" w:lineRule="auto"/>
        <w:jc w:val="both"/>
      </w:pPr>
      <w:r w:rsidRPr="00863D9B">
        <w:t>Les Juges d’instruction Cheikh DIOP (8</w:t>
      </w:r>
      <w:r w:rsidRPr="00863D9B">
        <w:rPr>
          <w:vertAlign w:val="superscript"/>
        </w:rPr>
        <w:t>ème</w:t>
      </w:r>
      <w:r w:rsidRPr="00863D9B">
        <w:t xml:space="preserve"> Cabinet) et Yacine CISSE (du Tribunal d’instance de </w:t>
      </w:r>
      <w:proofErr w:type="spellStart"/>
      <w:r w:rsidRPr="00863D9B">
        <w:t>Pikine</w:t>
      </w:r>
      <w:proofErr w:type="spellEnd"/>
      <w:r w:rsidRPr="00863D9B">
        <w:t xml:space="preserve">) ont mis l’accent sur le délai de traitement par le Procureur des dossiers communiqués pour règlement </w:t>
      </w:r>
      <w:r w:rsidR="00F73DB7" w:rsidRPr="00863D9B">
        <w:t xml:space="preserve">définitif </w:t>
      </w:r>
      <w:r w:rsidRPr="00863D9B">
        <w:t>en se demandant si le Juge devait rester spectateur et attendre le retour des réquisitions ou s’il pouvait, après l’</w:t>
      </w:r>
      <w:r w:rsidR="000A7788" w:rsidRPr="00863D9B">
        <w:t>é</w:t>
      </w:r>
      <w:r w:rsidRPr="00863D9B">
        <w:t>coulem</w:t>
      </w:r>
      <w:r w:rsidR="000A7788" w:rsidRPr="00863D9B">
        <w:t xml:space="preserve">ent du délai de 15 jours </w:t>
      </w:r>
      <w:r w:rsidR="000A7788" w:rsidRPr="00863D9B">
        <w:lastRenderedPageBreak/>
        <w:t>prévu par l’article 169 du code de procédure pénale</w:t>
      </w:r>
      <w:r w:rsidR="00F73DB7" w:rsidRPr="00863D9B">
        <w:t>, prendre son ordonnance de règlement.</w:t>
      </w:r>
      <w:r w:rsidR="000A7788" w:rsidRPr="00863D9B">
        <w:t xml:space="preserve"> </w:t>
      </w:r>
      <w:r w:rsidR="005D4CC6" w:rsidRPr="00863D9B">
        <w:t>La réponse retenue à ce propos était que le Juge était tenu d’attendre les réquisitions du Procureur sous peine de voir sa procédure sanctionnée.</w:t>
      </w:r>
    </w:p>
    <w:p w:rsidR="00611C85" w:rsidRPr="00863D9B" w:rsidRDefault="0093358C" w:rsidP="00552DFE">
      <w:pPr>
        <w:spacing w:line="360" w:lineRule="auto"/>
        <w:jc w:val="both"/>
      </w:pPr>
      <w:r w:rsidRPr="00863D9B">
        <w:t>Prenant la parole, Amadou SEYDI, adjoint au Procureur de la République près le Tribunal de Grande Instance de Dakar a expliqué que le Parquet jouait son rôle de gardien de la régularité formelle des procédures criminelles avec l’institution d’une fiche mise à la disposition de tous les Substituts et retraçant le respect de toutes les formalités susceptibles d’entrainer l’annulation à l’audience en vue de la saisine de la Chambre d’accusation sur le fondement de l’article 165 du code de procédure pénale.</w:t>
      </w:r>
    </w:p>
    <w:p w:rsidR="0093358C" w:rsidRPr="00863D9B" w:rsidRDefault="0093358C" w:rsidP="00552DFE">
      <w:pPr>
        <w:spacing w:line="360" w:lineRule="auto"/>
        <w:jc w:val="both"/>
      </w:pPr>
      <w:r w:rsidRPr="00863D9B">
        <w:t xml:space="preserve">Dans la même veine, les Juges </w:t>
      </w:r>
      <w:proofErr w:type="spellStart"/>
      <w:r w:rsidRPr="00863D9B">
        <w:t>Djiby</w:t>
      </w:r>
      <w:proofErr w:type="spellEnd"/>
      <w:r w:rsidRPr="00863D9B">
        <w:t xml:space="preserve"> SEYDI et Ousmane Chimère DIOUF, respectivement titulaires des chambres criminelles d’instance et d’appel ont insisté sur l’importance du formalisme de l’instruction et la « mise en état intellectuelle » du dossier avant le règlement définitif avec notamment la saisine de la Chambre d’accusation pour l’annulation des actes irréguliers</w:t>
      </w:r>
      <w:r w:rsidR="00B6649C" w:rsidRPr="00863D9B">
        <w:t xml:space="preserve"> en montrant que le Juge d’instruction et le Parquet doivent s’entourer de toutes les garanties avant l’audience</w:t>
      </w:r>
      <w:r w:rsidR="00BB7592" w:rsidRPr="00863D9B">
        <w:t xml:space="preserve"> pour éviter une annulation aux conséquences graves</w:t>
      </w:r>
      <w:r w:rsidRPr="00863D9B">
        <w:t>.</w:t>
      </w:r>
    </w:p>
    <w:p w:rsidR="00D95555" w:rsidRPr="00863D9B" w:rsidRDefault="00F76C7A" w:rsidP="00552DFE">
      <w:pPr>
        <w:spacing w:line="360" w:lineRule="auto"/>
        <w:jc w:val="both"/>
      </w:pPr>
      <w:r w:rsidRPr="00863D9B">
        <w:t>C’est d’ailleurs la raison pour laquelle l</w:t>
      </w:r>
      <w:r w:rsidR="00D95555" w:rsidRPr="00863D9B">
        <w:t xml:space="preserve">e premier Président de la Cour </w:t>
      </w:r>
      <w:r w:rsidRPr="00863D9B">
        <w:t xml:space="preserve">d’appel </w:t>
      </w:r>
      <w:r w:rsidR="00D95555" w:rsidRPr="00863D9B">
        <w:t>a souligné, à ce propos</w:t>
      </w:r>
      <w:r w:rsidRPr="00863D9B">
        <w:t>,</w:t>
      </w:r>
      <w:r w:rsidR="00D95555" w:rsidRPr="00863D9B">
        <w:t xml:space="preserve"> que la réforme de 2008 exigeait du Juge d’instruction, un contrôle plus rigoureux sur les actes qu’il posait : </w:t>
      </w:r>
      <w:r w:rsidR="00D95555" w:rsidRPr="00863D9B">
        <w:rPr>
          <w:i/>
        </w:rPr>
        <w:t>« substantielle ou pas, c’est la nullité en soit qu’il faut éviter à l’audience »</w:t>
      </w:r>
      <w:r w:rsidR="00D95555" w:rsidRPr="00863D9B">
        <w:t>.</w:t>
      </w:r>
    </w:p>
    <w:p w:rsidR="00F76C7A" w:rsidRPr="00863D9B" w:rsidRDefault="00D95555" w:rsidP="00552DFE">
      <w:pPr>
        <w:spacing w:line="360" w:lineRule="auto"/>
        <w:jc w:val="both"/>
      </w:pPr>
      <w:r w:rsidRPr="00863D9B">
        <w:t>A la suite de ce débat interactif, un certain nombre de recommandations ont été faites pour une meilleure prise en charge des nullités de procédure.</w:t>
      </w:r>
    </w:p>
    <w:p w:rsidR="00D5456F" w:rsidRPr="004C1979" w:rsidRDefault="00D5456F" w:rsidP="004C1979">
      <w:pPr>
        <w:pStyle w:val="Paragraphedeliste"/>
        <w:numPr>
          <w:ilvl w:val="0"/>
          <w:numId w:val="13"/>
        </w:numPr>
        <w:spacing w:line="360" w:lineRule="auto"/>
        <w:rPr>
          <w:b/>
        </w:rPr>
      </w:pPr>
      <w:r w:rsidRPr="004C1979">
        <w:rPr>
          <w:b/>
        </w:rPr>
        <w:t>Recommandations pour une meilleure prévention des nullités</w:t>
      </w:r>
      <w:r w:rsidR="00D42CE7" w:rsidRPr="004C1979">
        <w:rPr>
          <w:b/>
        </w:rPr>
        <w:t xml:space="preserve"> et cérémonie de clôture</w:t>
      </w:r>
    </w:p>
    <w:p w:rsidR="00AF1874" w:rsidRPr="00863D9B" w:rsidRDefault="00124948" w:rsidP="00AF1874">
      <w:pPr>
        <w:spacing w:line="360" w:lineRule="auto"/>
        <w:jc w:val="both"/>
      </w:pPr>
      <w:r w:rsidRPr="00863D9B">
        <w:t xml:space="preserve">Après l’exposé sur les différentes nullités rencontrées dans les procédures criminelles et l’échange sur les différentes réponses apportées par les Chambres criminelles, </w:t>
      </w:r>
      <w:r w:rsidR="001D2266">
        <w:t>Monsieur le Directeur des Affaires Criminelles et des Grâces a fait la synthèse des débats et procédé à  la récapitulation de l’ensemble des recommandations qui en sont issues. Les</w:t>
      </w:r>
      <w:r w:rsidRPr="00863D9B">
        <w:t xml:space="preserve"> recommandations adoptées sont les suivantes :</w:t>
      </w:r>
    </w:p>
    <w:p w:rsidR="00124948" w:rsidRPr="00863D9B" w:rsidRDefault="00124948" w:rsidP="00124948">
      <w:pPr>
        <w:pStyle w:val="Paragraphedeliste"/>
        <w:numPr>
          <w:ilvl w:val="0"/>
          <w:numId w:val="9"/>
        </w:numPr>
        <w:spacing w:line="360" w:lineRule="auto"/>
        <w:jc w:val="both"/>
      </w:pPr>
      <w:r w:rsidRPr="00863D9B">
        <w:t>Institution, avant le règlement définitif de l’affaire par le Juge d’instruction, d’une période de contestation, devant la Chambre d’accusation, des actes de l’information entachés de vices. (Cette proposition est, en réalité</w:t>
      </w:r>
      <w:r w:rsidR="001A0ECF" w:rsidRPr="00863D9B">
        <w:t>,</w:t>
      </w:r>
      <w:r w:rsidRPr="00863D9B">
        <w:t xml:space="preserve"> une sorte de purge des nullités </w:t>
      </w:r>
      <w:r w:rsidR="004C1D45" w:rsidRPr="00863D9B">
        <w:t xml:space="preserve">au sens de l’article 557 du CPP </w:t>
      </w:r>
      <w:r w:rsidRPr="00863D9B">
        <w:t xml:space="preserve">puisque l’objectif visé est </w:t>
      </w:r>
      <w:r w:rsidR="001D2266">
        <w:rPr>
          <w:b/>
        </w:rPr>
        <w:t>qu’au-delà</w:t>
      </w:r>
      <w:r w:rsidRPr="00863D9B">
        <w:t xml:space="preserve"> de cette période située au moment de la communication de la procédure aux conseils et au Parquet sur la base de l’article 169 CPP, aucune nullité ne puisse être soulevée).</w:t>
      </w:r>
    </w:p>
    <w:p w:rsidR="00124948" w:rsidRPr="00863D9B" w:rsidRDefault="00124948" w:rsidP="00124948">
      <w:pPr>
        <w:pStyle w:val="Paragraphedeliste"/>
        <w:numPr>
          <w:ilvl w:val="0"/>
          <w:numId w:val="9"/>
        </w:numPr>
        <w:spacing w:line="360" w:lineRule="auto"/>
        <w:jc w:val="both"/>
      </w:pPr>
      <w:r w:rsidRPr="00863D9B">
        <w:lastRenderedPageBreak/>
        <w:t>Mise en place d’un système officiel de transmission des convocations aux Avocats par des agents assermentés avec notamment un accusé de réception à verser au dossier</w:t>
      </w:r>
      <w:r w:rsidR="0033140A" w:rsidRPr="00863D9B">
        <w:t xml:space="preserve"> pour en assurer la traçabilité</w:t>
      </w:r>
      <w:r w:rsidRPr="00863D9B">
        <w:t>.</w:t>
      </w:r>
    </w:p>
    <w:p w:rsidR="00124948" w:rsidRPr="00863D9B" w:rsidRDefault="00124948" w:rsidP="00124948">
      <w:pPr>
        <w:pStyle w:val="Paragraphedeliste"/>
        <w:numPr>
          <w:ilvl w:val="0"/>
          <w:numId w:val="9"/>
        </w:numPr>
        <w:spacing w:line="360" w:lineRule="auto"/>
        <w:jc w:val="both"/>
      </w:pPr>
      <w:r w:rsidRPr="00863D9B">
        <w:t xml:space="preserve">Institution, avec le concours du Barreau, d’une permanence </w:t>
      </w:r>
      <w:r w:rsidR="00C9286B" w:rsidRPr="00863D9B">
        <w:t xml:space="preserve">pour faciliter </w:t>
      </w:r>
      <w:r w:rsidR="004C764E" w:rsidRPr="00863D9B">
        <w:t xml:space="preserve">aussi bien </w:t>
      </w:r>
      <w:r w:rsidR="00C9286B" w:rsidRPr="00863D9B">
        <w:t>les commissions d’office d’avocat</w:t>
      </w:r>
      <w:r w:rsidR="004C764E" w:rsidRPr="00863D9B">
        <w:t xml:space="preserve"> que la remise des convocations.</w:t>
      </w:r>
    </w:p>
    <w:p w:rsidR="004C764E" w:rsidRPr="00863D9B" w:rsidRDefault="0065742F" w:rsidP="00124948">
      <w:pPr>
        <w:pStyle w:val="Paragraphedeliste"/>
        <w:numPr>
          <w:ilvl w:val="0"/>
          <w:numId w:val="9"/>
        </w:numPr>
        <w:spacing w:line="360" w:lineRule="auto"/>
        <w:jc w:val="both"/>
      </w:pPr>
      <w:r w:rsidRPr="00863D9B">
        <w:t xml:space="preserve">Elaboration de pré-imprimés actualisés pour les procès-verbaux de première comparution et d’interrogatoire au fond avec la prise en compte de toutes les formalités dont l’omission pourrait entrainer l’annulation. </w:t>
      </w:r>
    </w:p>
    <w:p w:rsidR="001D2266" w:rsidRDefault="001D2266" w:rsidP="00124948">
      <w:pPr>
        <w:pStyle w:val="Paragraphedeliste"/>
        <w:numPr>
          <w:ilvl w:val="0"/>
          <w:numId w:val="9"/>
        </w:numPr>
        <w:spacing w:line="360" w:lineRule="auto"/>
        <w:jc w:val="both"/>
      </w:pPr>
      <w:r>
        <w:t xml:space="preserve">En cas d’annulation de la procédure suivie de nouvelles poursuites </w:t>
      </w:r>
      <w:r w:rsidR="00315F47">
        <w:t xml:space="preserve">fondées </w:t>
      </w:r>
      <w:r>
        <w:t>sur les mêmes faits, déduire, de la peine prononcée pour le jugement ou l’arrêt de condamnation, la détention supportée par l’accusé en raison de la procédure annulée, sauf disposition contraire spéciale et motivée d</w:t>
      </w:r>
      <w:r w:rsidR="00315F47">
        <w:t xml:space="preserve">u juge </w:t>
      </w:r>
      <w:bookmarkStart w:id="0" w:name="_GoBack"/>
      <w:bookmarkEnd w:id="0"/>
      <w:r>
        <w:t>(art 22 du Code Pénal</w:t>
      </w:r>
      <w:r w:rsidR="006C3703">
        <w:t>).</w:t>
      </w:r>
    </w:p>
    <w:p w:rsidR="001D2266" w:rsidRDefault="001D2266" w:rsidP="00424F86">
      <w:pPr>
        <w:spacing w:line="360" w:lineRule="auto"/>
        <w:jc w:val="both"/>
      </w:pPr>
    </w:p>
    <w:p w:rsidR="00424F86" w:rsidRPr="00863D9B" w:rsidRDefault="00424F86" w:rsidP="00424F86">
      <w:pPr>
        <w:spacing w:line="360" w:lineRule="auto"/>
        <w:jc w:val="both"/>
      </w:pPr>
      <w:r w:rsidRPr="00863D9B">
        <w:t xml:space="preserve">C’est sur ces notes et les mots de remerciement de monsieur le Directeur du Centre de Formation Judiciaire que la rencontre a pris fin à 15 heures.  </w:t>
      </w:r>
    </w:p>
    <w:p w:rsidR="00124948" w:rsidRPr="00863D9B" w:rsidRDefault="00124948" w:rsidP="00AF1874">
      <w:pPr>
        <w:spacing w:line="360" w:lineRule="auto"/>
        <w:jc w:val="both"/>
        <w:rPr>
          <w:b/>
        </w:rPr>
      </w:pPr>
    </w:p>
    <w:p w:rsidR="00E10835" w:rsidRPr="00863D9B" w:rsidRDefault="00E10835" w:rsidP="00375E50">
      <w:pPr>
        <w:spacing w:line="360" w:lineRule="auto"/>
        <w:jc w:val="both"/>
      </w:pPr>
    </w:p>
    <w:p w:rsidR="00625D91" w:rsidRPr="00901772" w:rsidRDefault="00901772" w:rsidP="00901772">
      <w:pPr>
        <w:jc w:val="center"/>
        <w:rPr>
          <w:b/>
        </w:rPr>
      </w:pPr>
      <w:r w:rsidRPr="00901772">
        <w:rPr>
          <w:b/>
        </w:rPr>
        <w:t>Fait à Dakar le 30 novembre 2017</w:t>
      </w:r>
    </w:p>
    <w:p w:rsidR="00901772" w:rsidRPr="00901772" w:rsidRDefault="00901772" w:rsidP="00901772">
      <w:pPr>
        <w:jc w:val="center"/>
        <w:rPr>
          <w:b/>
        </w:rPr>
      </w:pPr>
      <w:r w:rsidRPr="00901772">
        <w:rPr>
          <w:b/>
        </w:rPr>
        <w:t xml:space="preserve">Le Substitut </w:t>
      </w:r>
      <w:proofErr w:type="spellStart"/>
      <w:r w:rsidRPr="00901772">
        <w:rPr>
          <w:b/>
        </w:rPr>
        <w:t>Malick</w:t>
      </w:r>
      <w:proofErr w:type="spellEnd"/>
      <w:r w:rsidRPr="00901772">
        <w:rPr>
          <w:b/>
        </w:rPr>
        <w:t xml:space="preserve"> DIA</w:t>
      </w:r>
    </w:p>
    <w:sectPr w:rsidR="00901772" w:rsidRPr="00901772" w:rsidSect="00E71BF0">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D8E" w:rsidRDefault="008A4D8E" w:rsidP="00DA761B">
      <w:r>
        <w:separator/>
      </w:r>
    </w:p>
  </w:endnote>
  <w:endnote w:type="continuationSeparator" w:id="0">
    <w:p w:rsidR="008A4D8E" w:rsidRDefault="008A4D8E" w:rsidP="00DA76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Fax">
    <w:panose1 w:val="02060602050505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gency FB">
    <w:panose1 w:val="020B0503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46205"/>
      <w:docPartObj>
        <w:docPartGallery w:val="Page Numbers (Bottom of Page)"/>
        <w:docPartUnique/>
      </w:docPartObj>
    </w:sdtPr>
    <w:sdtContent>
      <w:p w:rsidR="008A7A90" w:rsidRDefault="00036749">
        <w:pPr>
          <w:pStyle w:val="Pieddepage"/>
          <w:jc w:val="center"/>
        </w:pPr>
        <w:r>
          <w:fldChar w:fldCharType="begin"/>
        </w:r>
        <w:r w:rsidR="00A636E1">
          <w:instrText xml:space="preserve"> PAGE   \* MERGEFORMAT </w:instrText>
        </w:r>
        <w:r>
          <w:fldChar w:fldCharType="separate"/>
        </w:r>
        <w:r w:rsidR="000A188A">
          <w:rPr>
            <w:noProof/>
          </w:rPr>
          <w:t>10</w:t>
        </w:r>
        <w:r>
          <w:rPr>
            <w:noProof/>
          </w:rPr>
          <w:fldChar w:fldCharType="end"/>
        </w:r>
      </w:p>
    </w:sdtContent>
  </w:sdt>
  <w:p w:rsidR="008A7A90" w:rsidRDefault="008A7A9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D8E" w:rsidRDefault="008A4D8E" w:rsidP="00DA761B">
      <w:r>
        <w:separator/>
      </w:r>
    </w:p>
  </w:footnote>
  <w:footnote w:type="continuationSeparator" w:id="0">
    <w:p w:rsidR="008A4D8E" w:rsidRDefault="008A4D8E" w:rsidP="00DA76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98A"/>
    <w:multiLevelType w:val="hybridMultilevel"/>
    <w:tmpl w:val="C00C07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1D1513F"/>
    <w:multiLevelType w:val="hybridMultilevel"/>
    <w:tmpl w:val="3DF8BBAE"/>
    <w:lvl w:ilvl="0" w:tplc="2244DD0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92D3675"/>
    <w:multiLevelType w:val="hybridMultilevel"/>
    <w:tmpl w:val="E7460F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AA45E04"/>
    <w:multiLevelType w:val="hybridMultilevel"/>
    <w:tmpl w:val="11542412"/>
    <w:lvl w:ilvl="0" w:tplc="CE52D2C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F2C37EA"/>
    <w:multiLevelType w:val="hybridMultilevel"/>
    <w:tmpl w:val="8E88A32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BF5034"/>
    <w:multiLevelType w:val="hybridMultilevel"/>
    <w:tmpl w:val="3B9C35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A90439C"/>
    <w:multiLevelType w:val="hybridMultilevel"/>
    <w:tmpl w:val="7B2E2460"/>
    <w:lvl w:ilvl="0" w:tplc="A44208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B757B05"/>
    <w:multiLevelType w:val="multilevel"/>
    <w:tmpl w:val="984E7690"/>
    <w:lvl w:ilvl="0">
      <w:start w:val="2"/>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nsid w:val="1D3F2B16"/>
    <w:multiLevelType w:val="hybridMultilevel"/>
    <w:tmpl w:val="B0DC688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8BF5593"/>
    <w:multiLevelType w:val="hybridMultilevel"/>
    <w:tmpl w:val="259E6B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90D0EF0"/>
    <w:multiLevelType w:val="hybridMultilevel"/>
    <w:tmpl w:val="AF4CA696"/>
    <w:lvl w:ilvl="0" w:tplc="FECA572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C4D3A76"/>
    <w:multiLevelType w:val="hybridMultilevel"/>
    <w:tmpl w:val="D486A7E6"/>
    <w:lvl w:ilvl="0" w:tplc="A5E60A4E">
      <w:start w:val="2"/>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nsid w:val="2DD45BDD"/>
    <w:multiLevelType w:val="hybridMultilevel"/>
    <w:tmpl w:val="1436A814"/>
    <w:lvl w:ilvl="0" w:tplc="109463F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0364FD1"/>
    <w:multiLevelType w:val="hybridMultilevel"/>
    <w:tmpl w:val="8F32E476"/>
    <w:lvl w:ilvl="0" w:tplc="930218E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03E04DE"/>
    <w:multiLevelType w:val="hybridMultilevel"/>
    <w:tmpl w:val="3F18FB9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4986427"/>
    <w:multiLevelType w:val="multilevel"/>
    <w:tmpl w:val="D5D04AC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452E3EDC"/>
    <w:multiLevelType w:val="hybridMultilevel"/>
    <w:tmpl w:val="365E1A70"/>
    <w:lvl w:ilvl="0" w:tplc="E5D23FA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494D4848"/>
    <w:multiLevelType w:val="hybridMultilevel"/>
    <w:tmpl w:val="028CFE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05E612E"/>
    <w:multiLevelType w:val="hybridMultilevel"/>
    <w:tmpl w:val="C93476E4"/>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nsid w:val="6088181F"/>
    <w:multiLevelType w:val="hybridMultilevel"/>
    <w:tmpl w:val="31AABB9A"/>
    <w:lvl w:ilvl="0" w:tplc="4BE64548">
      <w:start w:val="1"/>
      <w:numFmt w:val="upp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0">
    <w:nsid w:val="65E66A33"/>
    <w:multiLevelType w:val="hybridMultilevel"/>
    <w:tmpl w:val="D4B25418"/>
    <w:lvl w:ilvl="0" w:tplc="DB1AEF3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66D27B4"/>
    <w:multiLevelType w:val="multilevel"/>
    <w:tmpl w:val="D80CF8BE"/>
    <w:lvl w:ilvl="0">
      <w:start w:val="2"/>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22">
    <w:nsid w:val="6C6B1060"/>
    <w:multiLevelType w:val="hybridMultilevel"/>
    <w:tmpl w:val="B6A2042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D3978B7"/>
    <w:multiLevelType w:val="hybridMultilevel"/>
    <w:tmpl w:val="773E297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nsid w:val="71051263"/>
    <w:multiLevelType w:val="hybridMultilevel"/>
    <w:tmpl w:val="D02811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3315D5C"/>
    <w:multiLevelType w:val="hybridMultilevel"/>
    <w:tmpl w:val="A0F8D5B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81632CC"/>
    <w:multiLevelType w:val="hybridMultilevel"/>
    <w:tmpl w:val="39F018AA"/>
    <w:lvl w:ilvl="0" w:tplc="258E370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83969F7"/>
    <w:multiLevelType w:val="hybridMultilevel"/>
    <w:tmpl w:val="1B1A37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7CF646A0"/>
    <w:multiLevelType w:val="hybridMultilevel"/>
    <w:tmpl w:val="D1C4F64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0"/>
  </w:num>
  <w:num w:numId="2">
    <w:abstractNumId w:val="16"/>
  </w:num>
  <w:num w:numId="3">
    <w:abstractNumId w:val="27"/>
  </w:num>
  <w:num w:numId="4">
    <w:abstractNumId w:val="28"/>
  </w:num>
  <w:num w:numId="5">
    <w:abstractNumId w:val="17"/>
  </w:num>
  <w:num w:numId="6">
    <w:abstractNumId w:val="24"/>
  </w:num>
  <w:num w:numId="7">
    <w:abstractNumId w:val="2"/>
  </w:num>
  <w:num w:numId="8">
    <w:abstractNumId w:val="3"/>
  </w:num>
  <w:num w:numId="9">
    <w:abstractNumId w:val="4"/>
  </w:num>
  <w:num w:numId="10">
    <w:abstractNumId w:val="15"/>
  </w:num>
  <w:num w:numId="11">
    <w:abstractNumId w:val="6"/>
  </w:num>
  <w:num w:numId="12">
    <w:abstractNumId w:val="22"/>
  </w:num>
  <w:num w:numId="13">
    <w:abstractNumId w:val="11"/>
  </w:num>
  <w:num w:numId="14">
    <w:abstractNumId w:val="21"/>
  </w:num>
  <w:num w:numId="15">
    <w:abstractNumId w:val="14"/>
  </w:num>
  <w:num w:numId="16">
    <w:abstractNumId w:val="1"/>
  </w:num>
  <w:num w:numId="17">
    <w:abstractNumId w:val="19"/>
  </w:num>
  <w:num w:numId="18">
    <w:abstractNumId w:val="0"/>
  </w:num>
  <w:num w:numId="19">
    <w:abstractNumId w:val="23"/>
  </w:num>
  <w:num w:numId="20">
    <w:abstractNumId w:val="10"/>
  </w:num>
  <w:num w:numId="21">
    <w:abstractNumId w:val="13"/>
  </w:num>
  <w:num w:numId="22">
    <w:abstractNumId w:val="8"/>
  </w:num>
  <w:num w:numId="23">
    <w:abstractNumId w:val="5"/>
  </w:num>
  <w:num w:numId="24">
    <w:abstractNumId w:val="9"/>
  </w:num>
  <w:num w:numId="25">
    <w:abstractNumId w:val="18"/>
  </w:num>
  <w:num w:numId="26">
    <w:abstractNumId w:val="25"/>
  </w:num>
  <w:num w:numId="27">
    <w:abstractNumId w:val="7"/>
  </w:num>
  <w:num w:numId="28">
    <w:abstractNumId w:val="12"/>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F44CD1"/>
    <w:rsid w:val="00034EC2"/>
    <w:rsid w:val="00036749"/>
    <w:rsid w:val="00041A01"/>
    <w:rsid w:val="00043489"/>
    <w:rsid w:val="00060AFB"/>
    <w:rsid w:val="00076E90"/>
    <w:rsid w:val="000A188A"/>
    <w:rsid w:val="000A7788"/>
    <w:rsid w:val="000B68D4"/>
    <w:rsid w:val="000F605B"/>
    <w:rsid w:val="000F71A2"/>
    <w:rsid w:val="00124948"/>
    <w:rsid w:val="00127D00"/>
    <w:rsid w:val="001A0ECF"/>
    <w:rsid w:val="001D2266"/>
    <w:rsid w:val="0021711C"/>
    <w:rsid w:val="00227013"/>
    <w:rsid w:val="00243D1D"/>
    <w:rsid w:val="00271002"/>
    <w:rsid w:val="002A2EE2"/>
    <w:rsid w:val="002C438E"/>
    <w:rsid w:val="002D55D7"/>
    <w:rsid w:val="00304E74"/>
    <w:rsid w:val="00315F47"/>
    <w:rsid w:val="0033140A"/>
    <w:rsid w:val="00375E50"/>
    <w:rsid w:val="00377ADF"/>
    <w:rsid w:val="003B2C58"/>
    <w:rsid w:val="003E0151"/>
    <w:rsid w:val="00424F86"/>
    <w:rsid w:val="00432848"/>
    <w:rsid w:val="00433684"/>
    <w:rsid w:val="00444592"/>
    <w:rsid w:val="004452C5"/>
    <w:rsid w:val="00462046"/>
    <w:rsid w:val="00486FFB"/>
    <w:rsid w:val="004A35C9"/>
    <w:rsid w:val="004A5D7B"/>
    <w:rsid w:val="004B35F7"/>
    <w:rsid w:val="004C1979"/>
    <w:rsid w:val="004C1D45"/>
    <w:rsid w:val="004C764E"/>
    <w:rsid w:val="004E71CF"/>
    <w:rsid w:val="004F5F5F"/>
    <w:rsid w:val="00514D5C"/>
    <w:rsid w:val="00552DFE"/>
    <w:rsid w:val="005A34DE"/>
    <w:rsid w:val="005D1CCE"/>
    <w:rsid w:val="005D4CC6"/>
    <w:rsid w:val="00611C85"/>
    <w:rsid w:val="00625D91"/>
    <w:rsid w:val="006268BE"/>
    <w:rsid w:val="006279B1"/>
    <w:rsid w:val="00653825"/>
    <w:rsid w:val="0065742F"/>
    <w:rsid w:val="00664AE6"/>
    <w:rsid w:val="00681E11"/>
    <w:rsid w:val="00694B43"/>
    <w:rsid w:val="006C0DEE"/>
    <w:rsid w:val="006C3703"/>
    <w:rsid w:val="0074261B"/>
    <w:rsid w:val="00817613"/>
    <w:rsid w:val="0083042C"/>
    <w:rsid w:val="00863D9B"/>
    <w:rsid w:val="008A4D8E"/>
    <w:rsid w:val="008A7A90"/>
    <w:rsid w:val="008B58F8"/>
    <w:rsid w:val="008B6D63"/>
    <w:rsid w:val="00901772"/>
    <w:rsid w:val="009132DE"/>
    <w:rsid w:val="009235D9"/>
    <w:rsid w:val="00927A96"/>
    <w:rsid w:val="0093358C"/>
    <w:rsid w:val="00940B5D"/>
    <w:rsid w:val="00940F40"/>
    <w:rsid w:val="00945760"/>
    <w:rsid w:val="009A5228"/>
    <w:rsid w:val="009B1608"/>
    <w:rsid w:val="009B3249"/>
    <w:rsid w:val="009B7B8A"/>
    <w:rsid w:val="009F0638"/>
    <w:rsid w:val="00A15A96"/>
    <w:rsid w:val="00A32673"/>
    <w:rsid w:val="00A5419A"/>
    <w:rsid w:val="00A636E1"/>
    <w:rsid w:val="00A90345"/>
    <w:rsid w:val="00AA29D5"/>
    <w:rsid w:val="00AA5D80"/>
    <w:rsid w:val="00AD0EF7"/>
    <w:rsid w:val="00AD6DD1"/>
    <w:rsid w:val="00AD7052"/>
    <w:rsid w:val="00AF1874"/>
    <w:rsid w:val="00B23E59"/>
    <w:rsid w:val="00B6649C"/>
    <w:rsid w:val="00B66D1F"/>
    <w:rsid w:val="00B93144"/>
    <w:rsid w:val="00BA0249"/>
    <w:rsid w:val="00BB7592"/>
    <w:rsid w:val="00BD464C"/>
    <w:rsid w:val="00BE36E0"/>
    <w:rsid w:val="00C56188"/>
    <w:rsid w:val="00C67095"/>
    <w:rsid w:val="00C748F1"/>
    <w:rsid w:val="00C756EC"/>
    <w:rsid w:val="00C8161F"/>
    <w:rsid w:val="00C9286B"/>
    <w:rsid w:val="00CA6B6E"/>
    <w:rsid w:val="00CD639D"/>
    <w:rsid w:val="00CE667F"/>
    <w:rsid w:val="00D30BD2"/>
    <w:rsid w:val="00D32E2C"/>
    <w:rsid w:val="00D42CE7"/>
    <w:rsid w:val="00D5456F"/>
    <w:rsid w:val="00D90F83"/>
    <w:rsid w:val="00D95555"/>
    <w:rsid w:val="00DA761B"/>
    <w:rsid w:val="00DB5AF3"/>
    <w:rsid w:val="00E10835"/>
    <w:rsid w:val="00E30912"/>
    <w:rsid w:val="00E713A0"/>
    <w:rsid w:val="00E71BF0"/>
    <w:rsid w:val="00E8052F"/>
    <w:rsid w:val="00EB0227"/>
    <w:rsid w:val="00EF0E48"/>
    <w:rsid w:val="00EF4CA7"/>
    <w:rsid w:val="00F12828"/>
    <w:rsid w:val="00F44CD1"/>
    <w:rsid w:val="00F52ECF"/>
    <w:rsid w:val="00F73DB7"/>
    <w:rsid w:val="00F76C7A"/>
    <w:rsid w:val="00FA752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CD1"/>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F4CA7"/>
    <w:pPr>
      <w:ind w:left="720"/>
      <w:contextualSpacing/>
    </w:pPr>
  </w:style>
  <w:style w:type="paragraph" w:styleId="En-tte">
    <w:name w:val="header"/>
    <w:basedOn w:val="Normal"/>
    <w:link w:val="En-tteCar"/>
    <w:uiPriority w:val="99"/>
    <w:semiHidden/>
    <w:unhideWhenUsed/>
    <w:rsid w:val="00DA761B"/>
    <w:pPr>
      <w:tabs>
        <w:tab w:val="center" w:pos="4536"/>
        <w:tab w:val="right" w:pos="9072"/>
      </w:tabs>
    </w:pPr>
  </w:style>
  <w:style w:type="character" w:customStyle="1" w:styleId="En-tteCar">
    <w:name w:val="En-tête Car"/>
    <w:basedOn w:val="Policepardfaut"/>
    <w:link w:val="En-tte"/>
    <w:uiPriority w:val="99"/>
    <w:semiHidden/>
    <w:rsid w:val="00DA761B"/>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DA761B"/>
    <w:pPr>
      <w:tabs>
        <w:tab w:val="center" w:pos="4536"/>
        <w:tab w:val="right" w:pos="9072"/>
      </w:tabs>
    </w:pPr>
  </w:style>
  <w:style w:type="character" w:customStyle="1" w:styleId="PieddepageCar">
    <w:name w:val="Pied de page Car"/>
    <w:basedOn w:val="Policepardfaut"/>
    <w:link w:val="Pieddepage"/>
    <w:uiPriority w:val="99"/>
    <w:rsid w:val="00DA761B"/>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C3703"/>
    <w:rPr>
      <w:rFonts w:ascii="Tahoma" w:hAnsi="Tahoma" w:cs="Tahoma"/>
      <w:sz w:val="16"/>
      <w:szCs w:val="16"/>
    </w:rPr>
  </w:style>
  <w:style w:type="character" w:customStyle="1" w:styleId="TextedebullesCar">
    <w:name w:val="Texte de bulles Car"/>
    <w:basedOn w:val="Policepardfaut"/>
    <w:link w:val="Textedebulles"/>
    <w:uiPriority w:val="99"/>
    <w:semiHidden/>
    <w:rsid w:val="006C3703"/>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396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3228</Words>
  <Characters>17757</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20944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2</cp:revision>
  <cp:lastPrinted>2017-12-05T12:12:00Z</cp:lastPrinted>
  <dcterms:created xsi:type="dcterms:W3CDTF">2018-02-15T11:55:00Z</dcterms:created>
  <dcterms:modified xsi:type="dcterms:W3CDTF">2018-02-15T11:55:00Z</dcterms:modified>
</cp:coreProperties>
</file>