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3B5" w:rsidRDefault="002053B5" w:rsidP="002053B5">
      <w:pPr>
        <w:spacing w:after="0" w:line="240" w:lineRule="auto"/>
        <w:jc w:val="center"/>
        <w:rPr>
          <w:rFonts w:ascii="Monotype Corsiva" w:hAnsi="Monotype Corsiva"/>
          <w:b/>
          <w:bCs/>
          <w:i/>
          <w:iCs/>
          <w:szCs w:val="20"/>
        </w:rPr>
      </w:pPr>
      <w:r>
        <w:rPr>
          <w:rFonts w:ascii="Monotype Corsiva" w:hAnsi="Monotype Corsiva"/>
          <w:b/>
          <w:i/>
          <w:noProof/>
          <w:szCs w:val="20"/>
        </w:rPr>
        <w:t xml:space="preserve">   </w:t>
      </w:r>
      <w:r>
        <w:rPr>
          <w:rFonts w:ascii="Monotype Corsiva" w:hAnsi="Monotype Corsiva"/>
          <w:b/>
          <w:i/>
          <w:noProof/>
          <w:szCs w:val="20"/>
          <w:lang w:eastAsia="fr-FR"/>
        </w:rPr>
        <w:drawing>
          <wp:inline distT="0" distB="0" distL="0" distR="0">
            <wp:extent cx="1200150" cy="514350"/>
            <wp:effectExtent l="0" t="0" r="0" b="0"/>
            <wp:docPr id="1" name="Image 1"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0150" cy="514350"/>
                    </a:xfrm>
                    <a:prstGeom prst="rect">
                      <a:avLst/>
                    </a:prstGeom>
                    <a:noFill/>
                    <a:ln>
                      <a:noFill/>
                    </a:ln>
                  </pic:spPr>
                </pic:pic>
              </a:graphicData>
            </a:graphic>
          </wp:inline>
        </w:drawing>
      </w:r>
    </w:p>
    <w:p w:rsidR="002053B5" w:rsidRDefault="002053B5" w:rsidP="002053B5">
      <w:pPr>
        <w:spacing w:after="0" w:line="240" w:lineRule="auto"/>
        <w:jc w:val="center"/>
        <w:rPr>
          <w:rFonts w:ascii="Times New Roman" w:hAnsi="Times New Roman"/>
          <w:bCs/>
          <w:iCs/>
          <w:sz w:val="14"/>
          <w:szCs w:val="20"/>
        </w:rPr>
      </w:pPr>
      <w:r>
        <w:rPr>
          <w:bCs/>
          <w:iCs/>
          <w:sz w:val="14"/>
          <w:szCs w:val="20"/>
        </w:rPr>
        <w:t>REPUBLIQUE DU SENEGAL</w:t>
      </w:r>
    </w:p>
    <w:p w:rsidR="002053B5" w:rsidRDefault="002053B5" w:rsidP="002053B5">
      <w:pPr>
        <w:spacing w:after="0" w:line="240" w:lineRule="auto"/>
        <w:jc w:val="center"/>
        <w:rPr>
          <w:rFonts w:ascii="Monotype Corsiva" w:hAnsi="Monotype Corsiva"/>
          <w:b/>
          <w:bCs/>
          <w:i/>
          <w:iCs/>
          <w:sz w:val="24"/>
          <w:szCs w:val="20"/>
        </w:rPr>
      </w:pPr>
      <w:r>
        <w:rPr>
          <w:rFonts w:ascii="Monotype Corsiva" w:hAnsi="Monotype Corsiva"/>
          <w:b/>
          <w:bCs/>
          <w:i/>
          <w:iCs/>
          <w:szCs w:val="20"/>
        </w:rPr>
        <w:t>Un Peuple – Un But – Une Foi</w:t>
      </w:r>
    </w:p>
    <w:p w:rsidR="002053B5" w:rsidRDefault="002053B5" w:rsidP="002053B5">
      <w:pPr>
        <w:spacing w:after="0" w:line="240" w:lineRule="auto"/>
        <w:jc w:val="center"/>
        <w:rPr>
          <w:rFonts w:ascii="Bookman Old Style" w:hAnsi="Bookman Old Style"/>
          <w:b/>
          <w:bCs/>
          <w:sz w:val="20"/>
          <w:szCs w:val="20"/>
        </w:rPr>
      </w:pPr>
      <w:r>
        <w:rPr>
          <w:rFonts w:ascii="Bookman Old Style" w:hAnsi="Bookman Old Style"/>
          <w:b/>
          <w:bCs/>
          <w:sz w:val="20"/>
          <w:szCs w:val="20"/>
        </w:rPr>
        <w:t>MINISTERE DE LA JUSTICE</w:t>
      </w:r>
    </w:p>
    <w:p w:rsidR="002053B5" w:rsidRDefault="002053B5" w:rsidP="002053B5">
      <w:pPr>
        <w:spacing w:line="240" w:lineRule="auto"/>
        <w:jc w:val="both"/>
        <w:rPr>
          <w:rFonts w:ascii="Times New Roman" w:hAnsi="Times New Roman"/>
          <w:sz w:val="24"/>
          <w:szCs w:val="24"/>
        </w:rPr>
      </w:pPr>
    </w:p>
    <w:p w:rsidR="002053B5" w:rsidRDefault="002053B5" w:rsidP="002053B5">
      <w:pPr>
        <w:spacing w:line="240" w:lineRule="auto"/>
        <w:jc w:val="both"/>
        <w:rPr>
          <w:rFonts w:ascii="Times New Roman" w:hAnsi="Times New Roman"/>
          <w:sz w:val="24"/>
          <w:szCs w:val="24"/>
        </w:rPr>
      </w:pPr>
    </w:p>
    <w:p w:rsidR="002053B5" w:rsidRPr="00EF0034" w:rsidRDefault="002053B5" w:rsidP="002053B5">
      <w:pPr>
        <w:spacing w:after="0" w:line="240" w:lineRule="auto"/>
        <w:jc w:val="center"/>
        <w:rPr>
          <w:rFonts w:ascii="Times New Roman" w:hAnsi="Times New Roman"/>
          <w:b/>
          <w:i/>
          <w:sz w:val="24"/>
          <w:szCs w:val="24"/>
        </w:rPr>
      </w:pPr>
      <w:r w:rsidRPr="00EF0034">
        <w:rPr>
          <w:rFonts w:ascii="Times New Roman" w:hAnsi="Times New Roman"/>
          <w:b/>
          <w:i/>
          <w:sz w:val="24"/>
          <w:szCs w:val="24"/>
        </w:rPr>
        <w:t>SEMINAIRE SUR LES CHAMBRES CRIMINELLES</w:t>
      </w:r>
    </w:p>
    <w:p w:rsidR="002053B5" w:rsidRDefault="002053B5" w:rsidP="002053B5">
      <w:pPr>
        <w:tabs>
          <w:tab w:val="left" w:pos="6315"/>
        </w:tabs>
        <w:jc w:val="center"/>
        <w:rPr>
          <w:rFonts w:ascii="Arial" w:hAnsi="Arial" w:cs="Arial"/>
          <w:b/>
          <w:sz w:val="36"/>
          <w:szCs w:val="36"/>
          <w:u w:val="single"/>
        </w:rPr>
      </w:pPr>
    </w:p>
    <w:p w:rsidR="002053B5" w:rsidRPr="001E7174" w:rsidRDefault="002053B5" w:rsidP="002053B5">
      <w:pPr>
        <w:tabs>
          <w:tab w:val="left" w:pos="6315"/>
        </w:tabs>
        <w:jc w:val="center"/>
        <w:rPr>
          <w:rFonts w:ascii="Arial" w:hAnsi="Arial" w:cs="Arial"/>
          <w:sz w:val="36"/>
          <w:szCs w:val="36"/>
          <w:u w:val="single"/>
        </w:rPr>
      </w:pPr>
      <w:r w:rsidRPr="001E7174">
        <w:rPr>
          <w:rFonts w:ascii="Arial" w:hAnsi="Arial" w:cs="Arial"/>
          <w:sz w:val="36"/>
          <w:szCs w:val="36"/>
          <w:u w:val="single"/>
        </w:rPr>
        <w:t xml:space="preserve">Communication de </w:t>
      </w:r>
    </w:p>
    <w:p w:rsidR="002053B5" w:rsidRPr="001E7174" w:rsidRDefault="002053B5" w:rsidP="002053B5">
      <w:pPr>
        <w:tabs>
          <w:tab w:val="left" w:pos="6315"/>
        </w:tabs>
        <w:jc w:val="center"/>
        <w:rPr>
          <w:rFonts w:ascii="Times New Roman" w:hAnsi="Times New Roman"/>
          <w:b/>
          <w:sz w:val="28"/>
          <w:szCs w:val="28"/>
        </w:rPr>
      </w:pPr>
      <w:r w:rsidRPr="001E7174">
        <w:rPr>
          <w:rFonts w:ascii="Times New Roman" w:hAnsi="Times New Roman"/>
          <w:b/>
          <w:sz w:val="28"/>
          <w:szCs w:val="28"/>
        </w:rPr>
        <w:t xml:space="preserve">Monsieur  </w:t>
      </w:r>
      <w:proofErr w:type="spellStart"/>
      <w:r>
        <w:rPr>
          <w:rFonts w:ascii="Times New Roman" w:hAnsi="Times New Roman"/>
          <w:b/>
          <w:sz w:val="28"/>
          <w:szCs w:val="28"/>
        </w:rPr>
        <w:t>Ndigue</w:t>
      </w:r>
      <w:proofErr w:type="spellEnd"/>
      <w:r>
        <w:rPr>
          <w:rFonts w:ascii="Times New Roman" w:hAnsi="Times New Roman"/>
          <w:b/>
          <w:sz w:val="28"/>
          <w:szCs w:val="28"/>
        </w:rPr>
        <w:t xml:space="preserve"> DIOUF</w:t>
      </w:r>
      <w:r w:rsidRPr="001E7174">
        <w:rPr>
          <w:rFonts w:ascii="Times New Roman" w:hAnsi="Times New Roman"/>
          <w:b/>
          <w:sz w:val="28"/>
          <w:szCs w:val="28"/>
        </w:rPr>
        <w:t xml:space="preserve">, </w:t>
      </w:r>
    </w:p>
    <w:p w:rsidR="002053B5" w:rsidRPr="001E7174" w:rsidRDefault="002053B5" w:rsidP="002053B5">
      <w:pPr>
        <w:jc w:val="center"/>
        <w:rPr>
          <w:rFonts w:ascii="Times New Roman" w:hAnsi="Times New Roman"/>
          <w:b/>
          <w:sz w:val="32"/>
          <w:szCs w:val="32"/>
        </w:rPr>
      </w:pPr>
      <w:r w:rsidRPr="001E7174">
        <w:rPr>
          <w:rFonts w:ascii="Arial" w:hAnsi="Arial" w:cs="Arial"/>
          <w:b/>
          <w:sz w:val="32"/>
          <w:szCs w:val="32"/>
        </w:rPr>
        <w:t>Sur « LES NULLITES DE PROCEDURE »</w:t>
      </w:r>
    </w:p>
    <w:p w:rsidR="002053B5" w:rsidRDefault="002053B5" w:rsidP="007945E0">
      <w:pPr>
        <w:jc w:val="both"/>
        <w:rPr>
          <w:rFonts w:ascii="Times New Roman" w:hAnsi="Times New Roman"/>
          <w:b/>
          <w:sz w:val="28"/>
          <w:szCs w:val="28"/>
        </w:rPr>
      </w:pPr>
    </w:p>
    <w:p w:rsidR="00A230CB" w:rsidRPr="00CE4B80" w:rsidRDefault="006D59E7" w:rsidP="007945E0">
      <w:pPr>
        <w:jc w:val="both"/>
        <w:rPr>
          <w:rFonts w:ascii="Times New Roman" w:hAnsi="Times New Roman"/>
          <w:b/>
          <w:sz w:val="28"/>
          <w:szCs w:val="28"/>
        </w:rPr>
      </w:pPr>
      <w:r w:rsidRPr="00CE4B80">
        <w:rPr>
          <w:rFonts w:ascii="Times New Roman" w:hAnsi="Times New Roman"/>
          <w:b/>
          <w:sz w:val="28"/>
          <w:szCs w:val="28"/>
        </w:rPr>
        <w:t>La problématique des annulations dans les procédures devant la chambre criminelle</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Les nullités de procédures les plus souvent soulevées devant la chambre criminelle sont généralement fondées sur les articles 164 et 166 du CPP et le sont généralement pour violation des articles 1</w:t>
      </w:r>
      <w:r w:rsidR="00700912">
        <w:rPr>
          <w:rFonts w:ascii="Times New Roman" w:hAnsi="Times New Roman"/>
          <w:sz w:val="28"/>
          <w:szCs w:val="28"/>
        </w:rPr>
        <w:t>0</w:t>
      </w:r>
      <w:r w:rsidRPr="00CE4B80">
        <w:rPr>
          <w:rFonts w:ascii="Times New Roman" w:hAnsi="Times New Roman"/>
          <w:sz w:val="28"/>
          <w:szCs w:val="28"/>
        </w:rPr>
        <w:t>1, 105, 55, 57 du même code et des articles 306 et 311 du code des douanes.</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Ces nullités peuvent aussi être soulevées d’office par le tribunal conformément à l’article 168 du CPP</w:t>
      </w:r>
      <w:r w:rsidR="00700912">
        <w:rPr>
          <w:rFonts w:ascii="Times New Roman" w:hAnsi="Times New Roman"/>
          <w:sz w:val="28"/>
          <w:szCs w:val="28"/>
        </w:rPr>
        <w:t>.</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Lorsqu’elles sont soulevées par les parties, elles doivent l’être avant toute défense au fond conformément à l’article 373 du CPP.</w:t>
      </w:r>
    </w:p>
    <w:p w:rsidR="006D59E7" w:rsidRPr="00700912" w:rsidRDefault="006D59E7" w:rsidP="007945E0">
      <w:pPr>
        <w:jc w:val="both"/>
        <w:rPr>
          <w:rFonts w:ascii="Times New Roman" w:hAnsi="Times New Roman"/>
          <w:b/>
          <w:sz w:val="28"/>
          <w:szCs w:val="28"/>
        </w:rPr>
      </w:pPr>
      <w:r w:rsidRPr="00700912">
        <w:rPr>
          <w:rFonts w:ascii="Times New Roman" w:hAnsi="Times New Roman"/>
          <w:b/>
          <w:sz w:val="28"/>
          <w:szCs w:val="28"/>
        </w:rPr>
        <w:t>L’article 101 du CPP dispose :</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L’assistance d’un défenseur est obligatoire en matière criminelle…</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Dans ce cas, si l’inculpé n’a pas choisi un défenseur, le magistrat instructeur en commet un d’office.</w:t>
      </w:r>
    </w:p>
    <w:p w:rsidR="006D59E7" w:rsidRPr="00700912" w:rsidRDefault="006D59E7" w:rsidP="007945E0">
      <w:pPr>
        <w:jc w:val="both"/>
        <w:rPr>
          <w:rFonts w:ascii="Times New Roman" w:hAnsi="Times New Roman"/>
          <w:b/>
          <w:sz w:val="28"/>
          <w:szCs w:val="28"/>
        </w:rPr>
      </w:pPr>
      <w:r w:rsidRPr="00700912">
        <w:rPr>
          <w:rFonts w:ascii="Times New Roman" w:hAnsi="Times New Roman"/>
          <w:b/>
          <w:sz w:val="28"/>
          <w:szCs w:val="28"/>
        </w:rPr>
        <w:t>L’article 105 du CPP indique que</w:t>
      </w:r>
      <w:r w:rsidR="00700912">
        <w:rPr>
          <w:rFonts w:ascii="Times New Roman" w:hAnsi="Times New Roman"/>
          <w:b/>
          <w:sz w:val="28"/>
          <w:szCs w:val="28"/>
        </w:rPr>
        <w:t xml:space="preserve"> :    </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 xml:space="preserve">L’inculpé et la partie civile ne peuvent être entendus ou confrontés, à moins qu’ils n’y renoncent expressément qu’en présence de leurs conseils ou eux </w:t>
      </w:r>
      <w:r w:rsidRPr="00CE4B80">
        <w:rPr>
          <w:rFonts w:ascii="Times New Roman" w:hAnsi="Times New Roman"/>
          <w:sz w:val="28"/>
          <w:szCs w:val="28"/>
        </w:rPr>
        <w:lastRenderedPageBreak/>
        <w:t>dument appelés. Mention de la renonciation doit être faite en tête du procès-verbal.</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S’il réside au siège de l’instruction, le conseil est convoqué au plus tard l’avant – veille de l’interrogatoire par lettre recommandée ou par avis comportant l’un ou l’autre un accusé de réception. Lorsque le conseil ne réside pas au siège de l’instruction ce délai est porté à huit jours.</w:t>
      </w:r>
    </w:p>
    <w:p w:rsidR="006D59E7" w:rsidRPr="00700912" w:rsidRDefault="006D59E7" w:rsidP="007945E0">
      <w:pPr>
        <w:jc w:val="both"/>
        <w:rPr>
          <w:rFonts w:ascii="Times New Roman" w:hAnsi="Times New Roman"/>
          <w:b/>
          <w:sz w:val="28"/>
          <w:szCs w:val="28"/>
        </w:rPr>
      </w:pPr>
      <w:r w:rsidRPr="00700912">
        <w:rPr>
          <w:rFonts w:ascii="Times New Roman" w:hAnsi="Times New Roman"/>
          <w:b/>
          <w:sz w:val="28"/>
          <w:szCs w:val="28"/>
        </w:rPr>
        <w:t>Et l’article 164 du CPP précise que</w:t>
      </w:r>
      <w:r w:rsidR="00700912">
        <w:rPr>
          <w:rFonts w:ascii="Times New Roman" w:hAnsi="Times New Roman"/>
          <w:b/>
          <w:sz w:val="28"/>
          <w:szCs w:val="28"/>
        </w:rPr>
        <w:t> :</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 </w:t>
      </w:r>
      <w:proofErr w:type="gramStart"/>
      <w:r w:rsidRPr="00CE4B80">
        <w:rPr>
          <w:rFonts w:ascii="Times New Roman" w:hAnsi="Times New Roman"/>
          <w:sz w:val="28"/>
          <w:szCs w:val="28"/>
        </w:rPr>
        <w:t>les</w:t>
      </w:r>
      <w:proofErr w:type="gramEnd"/>
      <w:r w:rsidRPr="00CE4B80">
        <w:rPr>
          <w:rFonts w:ascii="Times New Roman" w:hAnsi="Times New Roman"/>
          <w:sz w:val="28"/>
          <w:szCs w:val="28"/>
        </w:rPr>
        <w:t xml:space="preserve"> dispositions prévues aux articles 101 et 105 du CPP doivent être observées à peine de nullité tant </w:t>
      </w:r>
      <w:r w:rsidR="00700912">
        <w:rPr>
          <w:rFonts w:ascii="Times New Roman" w:hAnsi="Times New Roman"/>
          <w:sz w:val="28"/>
          <w:szCs w:val="28"/>
        </w:rPr>
        <w:t>d</w:t>
      </w:r>
      <w:r w:rsidRPr="00CE4B80">
        <w:rPr>
          <w:rFonts w:ascii="Times New Roman" w:hAnsi="Times New Roman"/>
          <w:sz w:val="28"/>
          <w:szCs w:val="28"/>
        </w:rPr>
        <w:t>e l’acte lui-même que de la procédure ultérieure… »</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Des exceptions de nullité de procédure ont plusieurs fois été soulevées devant le TGI de Kaolack. Elles ont le plus souvent été rejetées mais elles sont parfois bien fondées et aboutissent à l’annulation des actes incriminés, voire de la procédure.</w:t>
      </w:r>
    </w:p>
    <w:p w:rsidR="006D59E7" w:rsidRPr="00700912" w:rsidRDefault="00700912" w:rsidP="007945E0">
      <w:pPr>
        <w:jc w:val="both"/>
        <w:rPr>
          <w:rFonts w:ascii="Times New Roman" w:hAnsi="Times New Roman"/>
          <w:b/>
          <w:sz w:val="28"/>
          <w:szCs w:val="28"/>
        </w:rPr>
      </w:pPr>
      <w:r>
        <w:rPr>
          <w:rFonts w:ascii="Times New Roman" w:hAnsi="Times New Roman"/>
          <w:b/>
          <w:sz w:val="28"/>
          <w:szCs w:val="28"/>
        </w:rPr>
        <w:t>1</w:t>
      </w:r>
      <w:r w:rsidR="006D59E7" w:rsidRPr="00700912">
        <w:rPr>
          <w:rFonts w:ascii="Times New Roman" w:hAnsi="Times New Roman"/>
          <w:b/>
          <w:sz w:val="28"/>
          <w:szCs w:val="28"/>
        </w:rPr>
        <w:t>. Nullité tirées de la violation de l’article 101 du CPP</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La présence d’un conseil est obligatoire à l’inculpation.</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Il a plusieurs fois été reproché au juge d’instruction de n’avoir pas commis d’office un conseil pour l’inculpé en matière criminelle.</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Les conseils recherchent dans les dossiers les ordonnances de commission d’office et, s’ils ne les trouvent pas estiment que le juge a violé l’article 101 du CPP, même s’il est bien indiqué, sur le procès-verbal de première comparution notamment, que maître X est commis d’office …</w:t>
      </w:r>
    </w:p>
    <w:p w:rsidR="006D59E7" w:rsidRPr="00CE4B80" w:rsidRDefault="00700912" w:rsidP="007945E0">
      <w:pPr>
        <w:jc w:val="both"/>
        <w:rPr>
          <w:rFonts w:ascii="Times New Roman" w:hAnsi="Times New Roman"/>
          <w:sz w:val="28"/>
          <w:szCs w:val="28"/>
        </w:rPr>
      </w:pPr>
      <w:r>
        <w:rPr>
          <w:rFonts w:ascii="Times New Roman" w:hAnsi="Times New Roman"/>
          <w:sz w:val="28"/>
          <w:szCs w:val="28"/>
        </w:rPr>
        <w:t>Le débat s’est po</w:t>
      </w:r>
      <w:r w:rsidR="006D59E7" w:rsidRPr="00CE4B80">
        <w:rPr>
          <w:rFonts w:ascii="Times New Roman" w:hAnsi="Times New Roman"/>
          <w:sz w:val="28"/>
          <w:szCs w:val="28"/>
        </w:rPr>
        <w:t>sé à ce niveau entre juges</w:t>
      </w:r>
      <w:r>
        <w:rPr>
          <w:rFonts w:ascii="Times New Roman" w:hAnsi="Times New Roman"/>
          <w:sz w:val="28"/>
          <w:szCs w:val="28"/>
        </w:rPr>
        <w:t>.</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Certains estiment que le juge d’instruction doit obligatoirement prendre  en bonne et due forme une ordonnance de commission d’office en commettant un conseil et que la mention sur le procès-verbal de première comparution selon laquelle il commet d’office maître X ne remplit pas l’objet de l’article 101 du CPP ; cette mention étant souvent destinée à faire état du fait que l’avocat commis d’office a cons</w:t>
      </w:r>
      <w:r w:rsidR="00700912">
        <w:rPr>
          <w:rFonts w:ascii="Times New Roman" w:hAnsi="Times New Roman"/>
          <w:sz w:val="28"/>
          <w:szCs w:val="28"/>
        </w:rPr>
        <w:t>e</w:t>
      </w:r>
      <w:r w:rsidRPr="00CE4B80">
        <w:rPr>
          <w:rFonts w:ascii="Times New Roman" w:hAnsi="Times New Roman"/>
          <w:sz w:val="28"/>
          <w:szCs w:val="28"/>
        </w:rPr>
        <w:t>nti à ce que son client soit entendu hors sa présence.</w:t>
      </w:r>
    </w:p>
    <w:p w:rsidR="006D59E7" w:rsidRPr="00CE4B80" w:rsidRDefault="006D59E7" w:rsidP="007945E0">
      <w:pPr>
        <w:jc w:val="both"/>
        <w:rPr>
          <w:rFonts w:ascii="Times New Roman" w:hAnsi="Times New Roman"/>
          <w:sz w:val="28"/>
          <w:szCs w:val="28"/>
        </w:rPr>
      </w:pPr>
      <w:r w:rsidRPr="00CE4B80">
        <w:rPr>
          <w:rFonts w:ascii="Times New Roman" w:hAnsi="Times New Roman"/>
          <w:sz w:val="28"/>
          <w:szCs w:val="28"/>
        </w:rPr>
        <w:t xml:space="preserve">Pour ces juges, il faut au moins que l’ordonnance figure dans l’inventaire des pièces du dossier dressé à la fin de l’instruction, à défaut ils considèrent tout simplement que le juge n’en avait pas pris une et en déduisent qu’il n’a pas commis d’office un </w:t>
      </w:r>
      <w:r w:rsidR="00F36A24" w:rsidRPr="00CE4B80">
        <w:rPr>
          <w:rFonts w:ascii="Times New Roman" w:hAnsi="Times New Roman"/>
          <w:sz w:val="28"/>
          <w:szCs w:val="28"/>
        </w:rPr>
        <w:t>cons</w:t>
      </w:r>
      <w:r w:rsidRPr="00CE4B80">
        <w:rPr>
          <w:rFonts w:ascii="Times New Roman" w:hAnsi="Times New Roman"/>
          <w:sz w:val="28"/>
          <w:szCs w:val="28"/>
        </w:rPr>
        <w:t xml:space="preserve">eil, même s’il a mentionné sur le procès-verbal de </w:t>
      </w:r>
      <w:r w:rsidRPr="00CE4B80">
        <w:rPr>
          <w:rFonts w:ascii="Times New Roman" w:hAnsi="Times New Roman"/>
          <w:sz w:val="28"/>
          <w:szCs w:val="28"/>
        </w:rPr>
        <w:lastRenderedPageBreak/>
        <w:t xml:space="preserve">première comparution « commettons maître … qui consent à ce que son client soit entendu hors sa présence ». </w:t>
      </w:r>
      <w:r w:rsidR="0094105A" w:rsidRPr="00CE4B80">
        <w:rPr>
          <w:rFonts w:ascii="Times New Roman" w:hAnsi="Times New Roman"/>
          <w:sz w:val="28"/>
          <w:szCs w:val="28"/>
        </w:rPr>
        <w:t>Ils</w:t>
      </w:r>
      <w:r w:rsidRPr="00CE4B80">
        <w:rPr>
          <w:rFonts w:ascii="Times New Roman" w:hAnsi="Times New Roman"/>
          <w:sz w:val="28"/>
          <w:szCs w:val="28"/>
        </w:rPr>
        <w:t xml:space="preserve"> en tirent donc toutes les conséquences en fais</w:t>
      </w:r>
      <w:r w:rsidR="00F36A24" w:rsidRPr="00CE4B80">
        <w:rPr>
          <w:rFonts w:ascii="Times New Roman" w:hAnsi="Times New Roman"/>
          <w:sz w:val="28"/>
          <w:szCs w:val="28"/>
        </w:rPr>
        <w:t>a</w:t>
      </w:r>
      <w:r w:rsidRPr="00CE4B80">
        <w:rPr>
          <w:rFonts w:ascii="Times New Roman" w:hAnsi="Times New Roman"/>
          <w:sz w:val="28"/>
          <w:szCs w:val="28"/>
        </w:rPr>
        <w:t>nt droit à l’exception soulevée et en annulant les actes incriminées et la procédure ultérieure.</w:t>
      </w:r>
    </w:p>
    <w:p w:rsidR="006D59E7" w:rsidRPr="00CE4B80" w:rsidRDefault="0094105A" w:rsidP="007945E0">
      <w:pPr>
        <w:jc w:val="both"/>
        <w:rPr>
          <w:rFonts w:ascii="Times New Roman" w:hAnsi="Times New Roman"/>
          <w:sz w:val="28"/>
          <w:szCs w:val="28"/>
        </w:rPr>
      </w:pPr>
      <w:r w:rsidRPr="00CE4B80">
        <w:rPr>
          <w:rFonts w:ascii="Times New Roman" w:hAnsi="Times New Roman"/>
          <w:sz w:val="28"/>
          <w:szCs w:val="28"/>
        </w:rPr>
        <w:t>D’autres juges estiment que le juge d’instruction est assermenté et si on peut admettre que ce qu’un officier public fait ou constate fasse foi jusqu’à inscription de faux (article 118 du COCC) ; pourquoi permett</w:t>
      </w:r>
      <w:r w:rsidR="00700912">
        <w:rPr>
          <w:rFonts w:ascii="Times New Roman" w:hAnsi="Times New Roman"/>
          <w:sz w:val="28"/>
          <w:szCs w:val="28"/>
        </w:rPr>
        <w:t>rait-on</w:t>
      </w:r>
      <w:r w:rsidRPr="00CE4B80">
        <w:rPr>
          <w:rFonts w:ascii="Times New Roman" w:hAnsi="Times New Roman"/>
          <w:sz w:val="28"/>
          <w:szCs w:val="28"/>
        </w:rPr>
        <w:t xml:space="preserve"> alors que ce que le juge d’instruction dit avoir fait ou constaté soit remis en cause sans la procédure en inscription de faux ?</w:t>
      </w:r>
    </w:p>
    <w:p w:rsidR="0094105A" w:rsidRPr="00CE4B80" w:rsidRDefault="0094105A" w:rsidP="007945E0">
      <w:pPr>
        <w:jc w:val="both"/>
        <w:rPr>
          <w:rFonts w:ascii="Times New Roman" w:hAnsi="Times New Roman"/>
          <w:sz w:val="28"/>
          <w:szCs w:val="28"/>
        </w:rPr>
      </w:pPr>
      <w:r w:rsidRPr="00CE4B80">
        <w:rPr>
          <w:rFonts w:ascii="Times New Roman" w:hAnsi="Times New Roman"/>
          <w:sz w:val="28"/>
          <w:szCs w:val="28"/>
        </w:rPr>
        <w:t xml:space="preserve">Les juges qui adoptent ce raisonnement n’annuleront pas une procédure pour violation </w:t>
      </w:r>
      <w:r w:rsidR="00811C9F">
        <w:rPr>
          <w:rFonts w:ascii="Times New Roman" w:hAnsi="Times New Roman"/>
          <w:sz w:val="28"/>
          <w:szCs w:val="28"/>
        </w:rPr>
        <w:t xml:space="preserve">de l’article 101 du CPP si le juge d’instruction écrit sur son procès-verbal de première </w:t>
      </w:r>
      <w:r w:rsidRPr="00CE4B80">
        <w:rPr>
          <w:rFonts w:ascii="Times New Roman" w:hAnsi="Times New Roman"/>
          <w:sz w:val="28"/>
          <w:szCs w:val="28"/>
        </w:rPr>
        <w:t>comparution notamment « commettons maître … qui consent à ce que son client soit entendu hors sa présence et rejetteront en conséquence l’exception soulevée dans ce sens comme mal fondée.</w:t>
      </w:r>
    </w:p>
    <w:p w:rsidR="0094105A" w:rsidRPr="00CE4B80" w:rsidRDefault="0094105A" w:rsidP="007945E0">
      <w:pPr>
        <w:jc w:val="both"/>
        <w:rPr>
          <w:rFonts w:ascii="Times New Roman" w:hAnsi="Times New Roman"/>
          <w:sz w:val="28"/>
          <w:szCs w:val="28"/>
        </w:rPr>
      </w:pPr>
      <w:r w:rsidRPr="00CE4B80">
        <w:rPr>
          <w:rFonts w:ascii="Times New Roman" w:hAnsi="Times New Roman"/>
          <w:sz w:val="28"/>
          <w:szCs w:val="28"/>
        </w:rPr>
        <w:t>Mais les griefs peuvent être plus clairs :</w:t>
      </w:r>
    </w:p>
    <w:p w:rsidR="0094105A" w:rsidRPr="00CE4B80" w:rsidRDefault="0094105A" w:rsidP="007945E0">
      <w:pPr>
        <w:jc w:val="both"/>
        <w:rPr>
          <w:rFonts w:ascii="Times New Roman" w:hAnsi="Times New Roman"/>
          <w:sz w:val="28"/>
          <w:szCs w:val="28"/>
        </w:rPr>
      </w:pPr>
      <w:r w:rsidRPr="00CE4B80">
        <w:rPr>
          <w:rFonts w:ascii="Times New Roman" w:hAnsi="Times New Roman"/>
          <w:sz w:val="28"/>
          <w:szCs w:val="28"/>
        </w:rPr>
        <w:t>L</w:t>
      </w:r>
      <w:r w:rsidR="00811C9F">
        <w:rPr>
          <w:rFonts w:ascii="Times New Roman" w:hAnsi="Times New Roman"/>
          <w:sz w:val="28"/>
          <w:szCs w:val="28"/>
        </w:rPr>
        <w:t>e</w:t>
      </w:r>
      <w:r w:rsidRPr="00CE4B80">
        <w:rPr>
          <w:rFonts w:ascii="Times New Roman" w:hAnsi="Times New Roman"/>
          <w:sz w:val="28"/>
          <w:szCs w:val="28"/>
        </w:rPr>
        <w:t xml:space="preserve"> tribunal de grande instance de </w:t>
      </w:r>
      <w:proofErr w:type="spellStart"/>
      <w:r w:rsidRPr="00CE4B80">
        <w:rPr>
          <w:rFonts w:ascii="Times New Roman" w:hAnsi="Times New Roman"/>
          <w:sz w:val="28"/>
          <w:szCs w:val="28"/>
        </w:rPr>
        <w:t>kaolack</w:t>
      </w:r>
      <w:proofErr w:type="spellEnd"/>
      <w:r w:rsidRPr="00CE4B80">
        <w:rPr>
          <w:rFonts w:ascii="Times New Roman" w:hAnsi="Times New Roman"/>
          <w:sz w:val="28"/>
          <w:szCs w:val="28"/>
        </w:rPr>
        <w:t xml:space="preserve"> a annulé le 08 décembre 2015 la procédure dans laquelle l’accusé était poursuivi pour trafic international de chanvre  indien sur la base de l’article 96 du CD.</w:t>
      </w:r>
    </w:p>
    <w:p w:rsidR="0094105A" w:rsidRPr="00811C9F" w:rsidRDefault="0094105A" w:rsidP="007945E0">
      <w:pPr>
        <w:jc w:val="both"/>
        <w:rPr>
          <w:rFonts w:ascii="Times New Roman" w:hAnsi="Times New Roman"/>
          <w:i/>
          <w:sz w:val="28"/>
          <w:szCs w:val="28"/>
        </w:rPr>
      </w:pPr>
      <w:r w:rsidRPr="00811C9F">
        <w:rPr>
          <w:rFonts w:ascii="Times New Roman" w:hAnsi="Times New Roman"/>
          <w:b/>
          <w:i/>
          <w:sz w:val="28"/>
          <w:szCs w:val="28"/>
        </w:rPr>
        <w:t xml:space="preserve">Jugement n°07/2015 du 08 décembre 2015 </w:t>
      </w:r>
      <w:r w:rsidRPr="00811C9F">
        <w:rPr>
          <w:rFonts w:ascii="Times New Roman" w:hAnsi="Times New Roman"/>
          <w:i/>
          <w:sz w:val="28"/>
          <w:szCs w:val="28"/>
        </w:rPr>
        <w:t>affaire Ministère public contre Ibrahima NDIAYE poursuivi pour trafic international de chanvre indien article 96 du code des drogues.</w:t>
      </w:r>
    </w:p>
    <w:p w:rsidR="006D59E7" w:rsidRPr="00CE4B80" w:rsidRDefault="0094105A" w:rsidP="007945E0">
      <w:pPr>
        <w:jc w:val="both"/>
        <w:rPr>
          <w:rFonts w:ascii="Times New Roman" w:hAnsi="Times New Roman"/>
          <w:sz w:val="28"/>
          <w:szCs w:val="28"/>
        </w:rPr>
      </w:pPr>
      <w:r w:rsidRPr="00CE4B80">
        <w:rPr>
          <w:rFonts w:ascii="Times New Roman" w:hAnsi="Times New Roman"/>
          <w:sz w:val="28"/>
          <w:szCs w:val="28"/>
        </w:rPr>
        <w:t>Le conseil de l’accus</w:t>
      </w:r>
      <w:r w:rsidR="00811C9F">
        <w:rPr>
          <w:rFonts w:ascii="Times New Roman" w:hAnsi="Times New Roman"/>
          <w:sz w:val="28"/>
          <w:szCs w:val="28"/>
        </w:rPr>
        <w:t>é</w:t>
      </w:r>
      <w:r w:rsidRPr="00CE4B80">
        <w:rPr>
          <w:rFonts w:ascii="Times New Roman" w:hAnsi="Times New Roman"/>
          <w:sz w:val="28"/>
          <w:szCs w:val="28"/>
        </w:rPr>
        <w:t xml:space="preserve"> Maître </w:t>
      </w:r>
      <w:proofErr w:type="spellStart"/>
      <w:r w:rsidRPr="00CE4B80">
        <w:rPr>
          <w:rFonts w:ascii="Times New Roman" w:hAnsi="Times New Roman"/>
          <w:sz w:val="28"/>
          <w:szCs w:val="28"/>
        </w:rPr>
        <w:t>Demba</w:t>
      </w:r>
      <w:proofErr w:type="spellEnd"/>
      <w:r w:rsidRPr="00CE4B80">
        <w:rPr>
          <w:rFonts w:ascii="Times New Roman" w:hAnsi="Times New Roman"/>
          <w:sz w:val="28"/>
          <w:szCs w:val="28"/>
        </w:rPr>
        <w:t xml:space="preserve"> Ciré BATHILY avait soulevée l’exception de nullité de la procédure pour violation de l’article 101 du CPP au motif qu’</w:t>
      </w:r>
      <w:r w:rsidR="00811C9F">
        <w:rPr>
          <w:rFonts w:ascii="Times New Roman" w:hAnsi="Times New Roman"/>
          <w:sz w:val="28"/>
          <w:szCs w:val="28"/>
        </w:rPr>
        <w:t>i</w:t>
      </w:r>
      <w:r w:rsidRPr="00CE4B80">
        <w:rPr>
          <w:rFonts w:ascii="Times New Roman" w:hAnsi="Times New Roman"/>
          <w:sz w:val="28"/>
          <w:szCs w:val="28"/>
        </w:rPr>
        <w:t>l résultait de l’ordonnance des commission d’office du juge d’instruction que ce dernier avait bien inculpé son client le 12 avril 2013 avant de lui commettre un conseil deux jours plus tard, le 14 du même mois</w:t>
      </w:r>
      <w:r w:rsidR="00811C9F">
        <w:rPr>
          <w:rFonts w:ascii="Times New Roman" w:hAnsi="Times New Roman"/>
          <w:sz w:val="28"/>
          <w:szCs w:val="28"/>
        </w:rPr>
        <w:t>…</w:t>
      </w:r>
    </w:p>
    <w:p w:rsidR="006D59E7" w:rsidRPr="00CE4B80" w:rsidRDefault="0094105A" w:rsidP="007945E0">
      <w:pPr>
        <w:jc w:val="both"/>
        <w:rPr>
          <w:rFonts w:ascii="Times New Roman" w:hAnsi="Times New Roman"/>
          <w:sz w:val="28"/>
          <w:szCs w:val="28"/>
        </w:rPr>
      </w:pPr>
      <w:r w:rsidRPr="00CE4B80">
        <w:rPr>
          <w:rFonts w:ascii="Times New Roman" w:hAnsi="Times New Roman"/>
          <w:sz w:val="28"/>
          <w:szCs w:val="28"/>
        </w:rPr>
        <w:t>Effectivement, il résultait des actes de la procédure que la date de l’ordonnance de commission d’office était prise le lendemain de l’inculpation et donc postérieure à celle–ci. Il apparaissait clairement que le juge d’instruction avait inculpé le mis en cause sans lui commettre de conseil. En conséquence, le tribunal avait annulé le procès-verbal de première comparution et toute la procédure subséquente.</w:t>
      </w:r>
    </w:p>
    <w:p w:rsidR="00811C9F" w:rsidRDefault="0033404D" w:rsidP="007945E0">
      <w:pPr>
        <w:jc w:val="both"/>
        <w:rPr>
          <w:rFonts w:ascii="Times New Roman" w:hAnsi="Times New Roman"/>
          <w:sz w:val="28"/>
          <w:szCs w:val="28"/>
        </w:rPr>
      </w:pPr>
      <w:r w:rsidRPr="00811C9F">
        <w:rPr>
          <w:rFonts w:ascii="Times New Roman" w:hAnsi="Times New Roman"/>
          <w:b/>
          <w:sz w:val="28"/>
          <w:szCs w:val="28"/>
        </w:rPr>
        <w:lastRenderedPageBreak/>
        <w:t>Dans d’autres situations les conseils</w:t>
      </w:r>
      <w:r w:rsidRPr="00811C9F">
        <w:rPr>
          <w:rFonts w:ascii="Times New Roman" w:hAnsi="Times New Roman"/>
          <w:sz w:val="28"/>
          <w:szCs w:val="28"/>
        </w:rPr>
        <w:t xml:space="preserve"> remettent en cause la pratique du juge </w:t>
      </w:r>
      <w:r w:rsidR="00811C9F">
        <w:rPr>
          <w:rFonts w:ascii="Times New Roman" w:hAnsi="Times New Roman"/>
          <w:sz w:val="28"/>
          <w:szCs w:val="28"/>
        </w:rPr>
        <w:t>d’instruction qui consiste à inc</w:t>
      </w:r>
      <w:r w:rsidRPr="00811C9F">
        <w:rPr>
          <w:rFonts w:ascii="Times New Roman" w:hAnsi="Times New Roman"/>
          <w:sz w:val="28"/>
          <w:szCs w:val="28"/>
        </w:rPr>
        <w:t>ul</w:t>
      </w:r>
      <w:r w:rsidR="00811C9F">
        <w:rPr>
          <w:rFonts w:ascii="Times New Roman" w:hAnsi="Times New Roman"/>
          <w:sz w:val="28"/>
          <w:szCs w:val="28"/>
        </w:rPr>
        <w:t>p</w:t>
      </w:r>
      <w:r w:rsidRPr="00811C9F">
        <w:rPr>
          <w:rFonts w:ascii="Times New Roman" w:hAnsi="Times New Roman"/>
          <w:sz w:val="28"/>
          <w:szCs w:val="28"/>
        </w:rPr>
        <w:t xml:space="preserve">er le mis en cause dans les 24 heures </w:t>
      </w:r>
      <w:r w:rsidR="00811C9F">
        <w:rPr>
          <w:rFonts w:ascii="Times New Roman" w:hAnsi="Times New Roman"/>
          <w:sz w:val="28"/>
          <w:szCs w:val="28"/>
        </w:rPr>
        <w:t>qu’il a commis d’office un conseil pour lui.</w:t>
      </w:r>
    </w:p>
    <w:p w:rsidR="0094105A" w:rsidRPr="00CE4B80" w:rsidRDefault="00811C9F" w:rsidP="007945E0">
      <w:pPr>
        <w:jc w:val="both"/>
        <w:rPr>
          <w:rFonts w:ascii="Times New Roman" w:hAnsi="Times New Roman"/>
          <w:sz w:val="28"/>
          <w:szCs w:val="28"/>
        </w:rPr>
      </w:pPr>
      <w:r>
        <w:rPr>
          <w:rFonts w:ascii="Times New Roman" w:hAnsi="Times New Roman"/>
          <w:sz w:val="28"/>
          <w:szCs w:val="28"/>
        </w:rPr>
        <w:t xml:space="preserve">En effet, la loi prévoit un délai de 24 heures </w:t>
      </w:r>
      <w:r w:rsidR="0033404D" w:rsidRPr="00811C9F">
        <w:rPr>
          <w:rFonts w:ascii="Times New Roman" w:hAnsi="Times New Roman"/>
          <w:sz w:val="28"/>
          <w:szCs w:val="28"/>
        </w:rPr>
        <w:t>pour le conseil après sa commission pour prendre connaissance du dossier s’il réside au siège de l’instruction et de huit jours dans le cas contraire</w:t>
      </w:r>
      <w:r w:rsidR="0033404D" w:rsidRPr="00CE4B80">
        <w:rPr>
          <w:rFonts w:ascii="Times New Roman" w:hAnsi="Times New Roman"/>
          <w:sz w:val="28"/>
          <w:szCs w:val="28"/>
        </w:rPr>
        <w:t>.</w:t>
      </w:r>
    </w:p>
    <w:p w:rsidR="0033404D" w:rsidRPr="00CE4B80" w:rsidRDefault="00106EAE" w:rsidP="007945E0">
      <w:pPr>
        <w:jc w:val="both"/>
        <w:rPr>
          <w:rFonts w:ascii="Times New Roman" w:hAnsi="Times New Roman"/>
          <w:sz w:val="28"/>
          <w:szCs w:val="28"/>
        </w:rPr>
      </w:pPr>
      <w:r w:rsidRPr="00CE4B80">
        <w:rPr>
          <w:rFonts w:ascii="Times New Roman" w:hAnsi="Times New Roman"/>
          <w:sz w:val="28"/>
          <w:szCs w:val="28"/>
        </w:rPr>
        <w:t xml:space="preserve">Les conseils </w:t>
      </w:r>
      <w:r w:rsidR="00F175BC" w:rsidRPr="00CE4B80">
        <w:rPr>
          <w:rFonts w:ascii="Times New Roman" w:hAnsi="Times New Roman"/>
          <w:sz w:val="28"/>
          <w:szCs w:val="28"/>
        </w:rPr>
        <w:t>déduisent</w:t>
      </w:r>
      <w:r w:rsidRPr="00CE4B80">
        <w:rPr>
          <w:rFonts w:ascii="Times New Roman" w:hAnsi="Times New Roman"/>
          <w:sz w:val="28"/>
          <w:szCs w:val="28"/>
        </w:rPr>
        <w:t xml:space="preserve"> de cette règle que le</w:t>
      </w:r>
      <w:r w:rsidR="00F175BC" w:rsidRPr="00CE4B80">
        <w:rPr>
          <w:rFonts w:ascii="Times New Roman" w:hAnsi="Times New Roman"/>
          <w:sz w:val="28"/>
          <w:szCs w:val="28"/>
        </w:rPr>
        <w:t xml:space="preserve"> </w:t>
      </w:r>
      <w:r w:rsidRPr="00CE4B80">
        <w:rPr>
          <w:rFonts w:ascii="Times New Roman" w:hAnsi="Times New Roman"/>
          <w:sz w:val="28"/>
          <w:szCs w:val="28"/>
        </w:rPr>
        <w:t xml:space="preserve">juge d’instruction ne peut </w:t>
      </w:r>
      <w:r w:rsidR="00F175BC" w:rsidRPr="00CE4B80">
        <w:rPr>
          <w:rFonts w:ascii="Times New Roman" w:hAnsi="Times New Roman"/>
          <w:sz w:val="28"/>
          <w:szCs w:val="28"/>
        </w:rPr>
        <w:t>inculper</w:t>
      </w:r>
      <w:r w:rsidRPr="00CE4B80">
        <w:rPr>
          <w:rFonts w:ascii="Times New Roman" w:hAnsi="Times New Roman"/>
          <w:sz w:val="28"/>
          <w:szCs w:val="28"/>
        </w:rPr>
        <w:t xml:space="preserve"> le mis en cause le jour même qu’il a </w:t>
      </w:r>
      <w:r w:rsidR="00F175BC" w:rsidRPr="00CE4B80">
        <w:rPr>
          <w:rFonts w:ascii="Times New Roman" w:hAnsi="Times New Roman"/>
          <w:sz w:val="28"/>
          <w:szCs w:val="28"/>
        </w:rPr>
        <w:t>commis</w:t>
      </w:r>
      <w:r w:rsidRPr="00CE4B80">
        <w:rPr>
          <w:rFonts w:ascii="Times New Roman" w:hAnsi="Times New Roman"/>
          <w:sz w:val="28"/>
          <w:szCs w:val="28"/>
        </w:rPr>
        <w:t xml:space="preserve"> un conseil pour lui.</w:t>
      </w:r>
    </w:p>
    <w:p w:rsidR="00106EAE" w:rsidRPr="00CE4B80" w:rsidRDefault="00106EAE" w:rsidP="007945E0">
      <w:pPr>
        <w:jc w:val="both"/>
        <w:rPr>
          <w:rFonts w:ascii="Times New Roman" w:hAnsi="Times New Roman"/>
          <w:sz w:val="28"/>
          <w:szCs w:val="28"/>
        </w:rPr>
      </w:pPr>
      <w:r w:rsidRPr="00CE4B80">
        <w:rPr>
          <w:rFonts w:ascii="Times New Roman" w:hAnsi="Times New Roman"/>
          <w:sz w:val="28"/>
          <w:szCs w:val="28"/>
        </w:rPr>
        <w:t xml:space="preserve">Maître Cheikh Ahmadou </w:t>
      </w:r>
      <w:r w:rsidR="00811C9F">
        <w:rPr>
          <w:rFonts w:ascii="Times New Roman" w:hAnsi="Times New Roman"/>
          <w:sz w:val="28"/>
          <w:szCs w:val="28"/>
        </w:rPr>
        <w:t>B</w:t>
      </w:r>
      <w:r w:rsidRPr="00CE4B80">
        <w:rPr>
          <w:rFonts w:ascii="Times New Roman" w:hAnsi="Times New Roman"/>
          <w:sz w:val="28"/>
          <w:szCs w:val="28"/>
        </w:rPr>
        <w:t>amba SYLLA a plaidé le 09 janvier 2018</w:t>
      </w:r>
      <w:r w:rsidR="00F841AF" w:rsidRPr="00CE4B80">
        <w:rPr>
          <w:rFonts w:ascii="Times New Roman" w:hAnsi="Times New Roman"/>
          <w:sz w:val="28"/>
          <w:szCs w:val="28"/>
        </w:rPr>
        <w:t xml:space="preserve"> la nullité du procès-verbal d’interrogatoire de première comparution du 18 mars 2015 dans l’affaire ministère public contre Cheikh </w:t>
      </w:r>
      <w:proofErr w:type="spellStart"/>
      <w:r w:rsidR="00F841AF" w:rsidRPr="00CE4B80">
        <w:rPr>
          <w:rFonts w:ascii="Times New Roman" w:hAnsi="Times New Roman"/>
          <w:sz w:val="28"/>
          <w:szCs w:val="28"/>
        </w:rPr>
        <w:t>Yacoub</w:t>
      </w:r>
      <w:proofErr w:type="spellEnd"/>
      <w:r w:rsidR="00F841AF" w:rsidRPr="00CE4B80">
        <w:rPr>
          <w:rFonts w:ascii="Times New Roman" w:hAnsi="Times New Roman"/>
          <w:sz w:val="28"/>
          <w:szCs w:val="28"/>
        </w:rPr>
        <w:t xml:space="preserve"> GAYE et Yaya DIATTA au motif que le juge d’instruction après avoir reçu les mis en cause et commis d’office un conseil pour eux le même jour</w:t>
      </w:r>
      <w:r w:rsidR="00811C9F">
        <w:rPr>
          <w:rFonts w:ascii="Times New Roman" w:hAnsi="Times New Roman"/>
          <w:sz w:val="28"/>
          <w:szCs w:val="28"/>
        </w:rPr>
        <w:t>,</w:t>
      </w:r>
      <w:r w:rsidR="00F841AF" w:rsidRPr="00CE4B80">
        <w:rPr>
          <w:rFonts w:ascii="Times New Roman" w:hAnsi="Times New Roman"/>
          <w:sz w:val="28"/>
          <w:szCs w:val="28"/>
        </w:rPr>
        <w:t xml:space="preserve"> les a inculpés le même jour du 18 mars 2015, en indiquant que le conseil appelé a renoncé à sa présence.</w:t>
      </w:r>
    </w:p>
    <w:p w:rsidR="00F841AF" w:rsidRPr="00CE4B80" w:rsidRDefault="00F841AF" w:rsidP="007945E0">
      <w:pPr>
        <w:jc w:val="both"/>
        <w:rPr>
          <w:rFonts w:ascii="Times New Roman" w:hAnsi="Times New Roman"/>
          <w:sz w:val="28"/>
          <w:szCs w:val="28"/>
        </w:rPr>
      </w:pPr>
      <w:r w:rsidRPr="00CE4B80">
        <w:rPr>
          <w:rFonts w:ascii="Times New Roman" w:hAnsi="Times New Roman"/>
          <w:sz w:val="28"/>
          <w:szCs w:val="28"/>
        </w:rPr>
        <w:t>Le ministère public dans ses réquisit</w:t>
      </w:r>
      <w:r w:rsidR="00811C9F">
        <w:rPr>
          <w:rFonts w:ascii="Times New Roman" w:hAnsi="Times New Roman"/>
          <w:sz w:val="28"/>
          <w:szCs w:val="28"/>
        </w:rPr>
        <w:t>ion</w:t>
      </w:r>
      <w:r w:rsidRPr="00CE4B80">
        <w:rPr>
          <w:rFonts w:ascii="Times New Roman" w:hAnsi="Times New Roman"/>
          <w:sz w:val="28"/>
          <w:szCs w:val="28"/>
        </w:rPr>
        <w:t>s avait suivi l’avocat et le tribunal a annulé pour violation de l’article 101 du CPP le procès-verbal d’interrogatoire de première comparution et la procédure subséquente.</w:t>
      </w:r>
    </w:p>
    <w:p w:rsidR="00F841AF" w:rsidRPr="00CE4B80" w:rsidRDefault="00E864DB" w:rsidP="007945E0">
      <w:pPr>
        <w:jc w:val="both"/>
        <w:rPr>
          <w:rFonts w:ascii="Times New Roman" w:hAnsi="Times New Roman"/>
          <w:sz w:val="28"/>
          <w:szCs w:val="28"/>
        </w:rPr>
      </w:pPr>
      <w:r w:rsidRPr="00811C9F">
        <w:rPr>
          <w:rFonts w:ascii="Times New Roman" w:hAnsi="Times New Roman"/>
          <w:b/>
          <w:sz w:val="28"/>
          <w:szCs w:val="28"/>
        </w:rPr>
        <w:t>Jugement n°02 du 09 janvier 2018</w:t>
      </w:r>
      <w:r w:rsidRPr="00CE4B80">
        <w:rPr>
          <w:rFonts w:ascii="Times New Roman" w:hAnsi="Times New Roman"/>
          <w:sz w:val="28"/>
          <w:szCs w:val="28"/>
        </w:rPr>
        <w:t xml:space="preserve"> affaire </w:t>
      </w:r>
      <w:r w:rsidR="00B14DD7" w:rsidRPr="00CE4B80">
        <w:rPr>
          <w:rFonts w:ascii="Times New Roman" w:hAnsi="Times New Roman"/>
          <w:sz w:val="28"/>
          <w:szCs w:val="28"/>
        </w:rPr>
        <w:t>Ministère</w:t>
      </w:r>
      <w:r w:rsidRPr="00CE4B80">
        <w:rPr>
          <w:rFonts w:ascii="Times New Roman" w:hAnsi="Times New Roman"/>
          <w:sz w:val="28"/>
          <w:szCs w:val="28"/>
        </w:rPr>
        <w:t xml:space="preserve"> public contre Cheikh </w:t>
      </w:r>
      <w:proofErr w:type="spellStart"/>
      <w:r w:rsidRPr="00CE4B80">
        <w:rPr>
          <w:rFonts w:ascii="Times New Roman" w:hAnsi="Times New Roman"/>
          <w:sz w:val="28"/>
          <w:szCs w:val="28"/>
        </w:rPr>
        <w:t>Yacoub</w:t>
      </w:r>
      <w:proofErr w:type="spellEnd"/>
      <w:r w:rsidRPr="00CE4B80">
        <w:rPr>
          <w:rFonts w:ascii="Times New Roman" w:hAnsi="Times New Roman"/>
          <w:sz w:val="28"/>
          <w:szCs w:val="28"/>
        </w:rPr>
        <w:t xml:space="preserve"> GAYE</w:t>
      </w:r>
      <w:r w:rsidR="00B14DD7" w:rsidRPr="00CE4B80">
        <w:rPr>
          <w:rFonts w:ascii="Times New Roman" w:hAnsi="Times New Roman"/>
          <w:sz w:val="28"/>
          <w:szCs w:val="28"/>
        </w:rPr>
        <w:t xml:space="preserve"> et Yaya DIATTA poursuivis pour trafic intérieur de chanvre indien et de contrebande sur la base des articles 97 du Code des drogues et 391 et suivants du code des douanes.</w:t>
      </w:r>
    </w:p>
    <w:p w:rsidR="00B14DD7" w:rsidRPr="00CE4B80" w:rsidRDefault="00B14DD7" w:rsidP="007945E0">
      <w:pPr>
        <w:jc w:val="both"/>
        <w:rPr>
          <w:rFonts w:ascii="Times New Roman" w:hAnsi="Times New Roman"/>
          <w:sz w:val="28"/>
          <w:szCs w:val="28"/>
        </w:rPr>
      </w:pPr>
      <w:r w:rsidRPr="00811C9F">
        <w:rPr>
          <w:rFonts w:ascii="Times New Roman" w:hAnsi="Times New Roman"/>
          <w:b/>
          <w:sz w:val="28"/>
          <w:szCs w:val="28"/>
        </w:rPr>
        <w:t>Dans d’autres situations encore</w:t>
      </w:r>
      <w:r w:rsidRPr="00CE4B80">
        <w:rPr>
          <w:rFonts w:ascii="Times New Roman" w:hAnsi="Times New Roman"/>
          <w:sz w:val="28"/>
          <w:szCs w:val="28"/>
        </w:rPr>
        <w:t xml:space="preserve"> c’es</w:t>
      </w:r>
      <w:r w:rsidR="00811C9F">
        <w:rPr>
          <w:rFonts w:ascii="Times New Roman" w:hAnsi="Times New Roman"/>
          <w:sz w:val="28"/>
          <w:szCs w:val="28"/>
        </w:rPr>
        <w:t>t</w:t>
      </w:r>
      <w:r w:rsidRPr="00CE4B80">
        <w:rPr>
          <w:rFonts w:ascii="Times New Roman" w:hAnsi="Times New Roman"/>
          <w:sz w:val="28"/>
          <w:szCs w:val="28"/>
        </w:rPr>
        <w:t xml:space="preserve"> la preuve même de l’appel fait au conseil qui est discutée par les conseils, notamment lorsque les juge</w:t>
      </w:r>
      <w:r w:rsidR="0012368B" w:rsidRPr="00CE4B80">
        <w:rPr>
          <w:rFonts w:ascii="Times New Roman" w:hAnsi="Times New Roman"/>
          <w:sz w:val="28"/>
          <w:szCs w:val="28"/>
        </w:rPr>
        <w:t>s</w:t>
      </w:r>
      <w:r w:rsidRPr="00CE4B80">
        <w:rPr>
          <w:rFonts w:ascii="Times New Roman" w:hAnsi="Times New Roman"/>
          <w:sz w:val="28"/>
          <w:szCs w:val="28"/>
        </w:rPr>
        <w:t xml:space="preserve"> d’instruction </w:t>
      </w:r>
      <w:proofErr w:type="gramStart"/>
      <w:r w:rsidRPr="00CE4B80">
        <w:rPr>
          <w:rFonts w:ascii="Times New Roman" w:hAnsi="Times New Roman"/>
          <w:sz w:val="28"/>
          <w:szCs w:val="28"/>
        </w:rPr>
        <w:t>entend</w:t>
      </w:r>
      <w:proofErr w:type="gramEnd"/>
      <w:r w:rsidRPr="00CE4B80">
        <w:rPr>
          <w:rFonts w:ascii="Times New Roman" w:hAnsi="Times New Roman"/>
          <w:sz w:val="28"/>
          <w:szCs w:val="28"/>
        </w:rPr>
        <w:t xml:space="preserve"> leurs clients hors leur présence en indiquant que dument appelé, le conseil a consenti à ce que son client soit entendu hors sa présence.</w:t>
      </w:r>
    </w:p>
    <w:p w:rsidR="0012368B" w:rsidRPr="00811C9F" w:rsidRDefault="0012368B" w:rsidP="007945E0">
      <w:pPr>
        <w:jc w:val="both"/>
        <w:rPr>
          <w:rFonts w:ascii="Times New Roman" w:hAnsi="Times New Roman"/>
          <w:i/>
          <w:sz w:val="28"/>
          <w:szCs w:val="28"/>
        </w:rPr>
      </w:pPr>
      <w:r w:rsidRPr="00811C9F">
        <w:rPr>
          <w:rFonts w:ascii="Times New Roman" w:hAnsi="Times New Roman"/>
          <w:i/>
          <w:sz w:val="28"/>
          <w:szCs w:val="28"/>
        </w:rPr>
        <w:t>Les juges répondent que le juge d’instruction est assermenté et sauf à utiliser l</w:t>
      </w:r>
      <w:r w:rsidR="00811C9F">
        <w:rPr>
          <w:rFonts w:ascii="Times New Roman" w:hAnsi="Times New Roman"/>
          <w:i/>
          <w:sz w:val="28"/>
          <w:szCs w:val="28"/>
        </w:rPr>
        <w:t>a</w:t>
      </w:r>
      <w:r w:rsidRPr="00811C9F">
        <w:rPr>
          <w:rFonts w:ascii="Times New Roman" w:hAnsi="Times New Roman"/>
          <w:i/>
          <w:sz w:val="28"/>
          <w:szCs w:val="28"/>
        </w:rPr>
        <w:t xml:space="preserve"> procédure en inscription faux, ce qu’il dit avoir fait ou constaté fait pleinement foi et emport</w:t>
      </w:r>
      <w:r w:rsidR="008602A2">
        <w:rPr>
          <w:rFonts w:ascii="Times New Roman" w:hAnsi="Times New Roman"/>
          <w:i/>
          <w:sz w:val="28"/>
          <w:szCs w:val="28"/>
        </w:rPr>
        <w:t>e</w:t>
      </w:r>
      <w:r w:rsidRPr="00811C9F">
        <w:rPr>
          <w:rFonts w:ascii="Times New Roman" w:hAnsi="Times New Roman"/>
          <w:i/>
          <w:sz w:val="28"/>
          <w:szCs w:val="28"/>
        </w:rPr>
        <w:t xml:space="preserve"> leur conviction, même si les  accusés de réception des convocation</w:t>
      </w:r>
      <w:r w:rsidR="00696A8E" w:rsidRPr="00811C9F">
        <w:rPr>
          <w:rFonts w:ascii="Times New Roman" w:hAnsi="Times New Roman"/>
          <w:i/>
          <w:sz w:val="28"/>
          <w:szCs w:val="28"/>
        </w:rPr>
        <w:t>s</w:t>
      </w:r>
      <w:r w:rsidRPr="00811C9F">
        <w:rPr>
          <w:rFonts w:ascii="Times New Roman" w:hAnsi="Times New Roman"/>
          <w:i/>
          <w:sz w:val="28"/>
          <w:szCs w:val="28"/>
        </w:rPr>
        <w:t xml:space="preserve"> des conseil</w:t>
      </w:r>
      <w:r w:rsidR="00696A8E" w:rsidRPr="00811C9F">
        <w:rPr>
          <w:rFonts w:ascii="Times New Roman" w:hAnsi="Times New Roman"/>
          <w:i/>
          <w:sz w:val="28"/>
          <w:szCs w:val="28"/>
        </w:rPr>
        <w:t>s</w:t>
      </w:r>
      <w:r w:rsidRPr="00811C9F">
        <w:rPr>
          <w:rFonts w:ascii="Times New Roman" w:hAnsi="Times New Roman"/>
          <w:i/>
          <w:sz w:val="28"/>
          <w:szCs w:val="28"/>
        </w:rPr>
        <w:t xml:space="preserve"> ne figurent pas le dossier.</w:t>
      </w:r>
    </w:p>
    <w:p w:rsidR="00696A8E" w:rsidRPr="00CE4B80" w:rsidRDefault="00696A8E" w:rsidP="007945E0">
      <w:pPr>
        <w:jc w:val="both"/>
        <w:rPr>
          <w:rFonts w:ascii="Times New Roman" w:hAnsi="Times New Roman"/>
          <w:sz w:val="28"/>
          <w:szCs w:val="28"/>
        </w:rPr>
      </w:pPr>
      <w:r w:rsidRPr="008602A2">
        <w:rPr>
          <w:rFonts w:ascii="Times New Roman" w:hAnsi="Times New Roman"/>
          <w:b/>
          <w:sz w:val="28"/>
          <w:szCs w:val="28"/>
        </w:rPr>
        <w:t>Les conseils ajouten</w:t>
      </w:r>
      <w:r w:rsidRPr="00CE4B80">
        <w:rPr>
          <w:rFonts w:ascii="Times New Roman" w:hAnsi="Times New Roman"/>
          <w:sz w:val="28"/>
          <w:szCs w:val="28"/>
        </w:rPr>
        <w:t xml:space="preserve">t que le fait que conseil avisé renonce à sa présence et autorise l’inculpation de son client hors sa présence est irrégulière. Selon eux, il n’appartient pas au conseil de renoncer à un droit qui ne lui appartient pas et que </w:t>
      </w:r>
      <w:r w:rsidRPr="00CE4B80">
        <w:rPr>
          <w:rFonts w:ascii="Times New Roman" w:hAnsi="Times New Roman"/>
          <w:sz w:val="28"/>
          <w:szCs w:val="28"/>
        </w:rPr>
        <w:lastRenderedPageBreak/>
        <w:t>c’est au mis en cause qu’il appartient de renoncer à la présence de son conseil à son interrogatoire.</w:t>
      </w:r>
    </w:p>
    <w:p w:rsidR="00696A8E" w:rsidRPr="008602A2" w:rsidRDefault="00696A8E" w:rsidP="007945E0">
      <w:pPr>
        <w:jc w:val="both"/>
        <w:rPr>
          <w:rFonts w:ascii="Times New Roman" w:hAnsi="Times New Roman"/>
          <w:i/>
          <w:sz w:val="28"/>
          <w:szCs w:val="28"/>
        </w:rPr>
      </w:pPr>
      <w:r w:rsidRPr="008602A2">
        <w:rPr>
          <w:rFonts w:ascii="Times New Roman" w:hAnsi="Times New Roman"/>
          <w:i/>
          <w:sz w:val="28"/>
          <w:szCs w:val="28"/>
        </w:rPr>
        <w:t>La question est ouverte. En tout cas le TGI de Kaolack n’a pas encore annulé une procédure pour ce motif, même si ce dernier est régulièrement invoqué devant notre chambre criminelle.</w:t>
      </w:r>
    </w:p>
    <w:p w:rsidR="00696A8E" w:rsidRPr="00CE4B80" w:rsidRDefault="00190028" w:rsidP="007945E0">
      <w:pPr>
        <w:jc w:val="both"/>
        <w:rPr>
          <w:rFonts w:ascii="Times New Roman" w:hAnsi="Times New Roman"/>
          <w:b/>
          <w:sz w:val="28"/>
          <w:szCs w:val="28"/>
        </w:rPr>
      </w:pPr>
      <w:r w:rsidRPr="00CE4B80">
        <w:rPr>
          <w:rFonts w:ascii="Times New Roman" w:hAnsi="Times New Roman"/>
          <w:b/>
          <w:sz w:val="28"/>
          <w:szCs w:val="28"/>
        </w:rPr>
        <w:t>2. Les nullités tirées de la violation de l’article 105 du CPP</w:t>
      </w:r>
    </w:p>
    <w:p w:rsidR="00190028" w:rsidRPr="00CE4B80" w:rsidRDefault="00190028" w:rsidP="007945E0">
      <w:pPr>
        <w:jc w:val="both"/>
        <w:rPr>
          <w:rFonts w:ascii="Times New Roman" w:hAnsi="Times New Roman"/>
          <w:sz w:val="28"/>
          <w:szCs w:val="28"/>
        </w:rPr>
      </w:pPr>
      <w:r w:rsidRPr="00CE4B80">
        <w:rPr>
          <w:rFonts w:ascii="Times New Roman" w:hAnsi="Times New Roman"/>
          <w:sz w:val="28"/>
          <w:szCs w:val="28"/>
        </w:rPr>
        <w:t>La présence du conseil à l’interrogatoire au fond est également obligatoire.</w:t>
      </w:r>
    </w:p>
    <w:p w:rsidR="00190028" w:rsidRPr="00CE4B80" w:rsidRDefault="00190028" w:rsidP="007945E0">
      <w:pPr>
        <w:jc w:val="both"/>
        <w:rPr>
          <w:rFonts w:ascii="Times New Roman" w:hAnsi="Times New Roman"/>
          <w:sz w:val="28"/>
          <w:szCs w:val="28"/>
        </w:rPr>
      </w:pPr>
      <w:r w:rsidRPr="00CE4B80">
        <w:rPr>
          <w:rFonts w:ascii="Times New Roman" w:hAnsi="Times New Roman"/>
          <w:sz w:val="28"/>
          <w:szCs w:val="28"/>
        </w:rPr>
        <w:t>En rappel la loi dispose que l’inculpé et la partie civile ne peuvent être entendu</w:t>
      </w:r>
      <w:r w:rsidR="008602A2">
        <w:rPr>
          <w:rFonts w:ascii="Times New Roman" w:hAnsi="Times New Roman"/>
          <w:sz w:val="28"/>
          <w:szCs w:val="28"/>
        </w:rPr>
        <w:t>s</w:t>
      </w:r>
      <w:r w:rsidRPr="00CE4B80">
        <w:rPr>
          <w:rFonts w:ascii="Times New Roman" w:hAnsi="Times New Roman"/>
          <w:sz w:val="28"/>
          <w:szCs w:val="28"/>
        </w:rPr>
        <w:t xml:space="preserve"> ou confrontés, à moins qu’ils n’y renoncent expressément qu’en présence de leurs conseils ou eux dument appelés.</w:t>
      </w:r>
    </w:p>
    <w:p w:rsidR="00190028" w:rsidRPr="00CE4B80" w:rsidRDefault="00190028" w:rsidP="007945E0">
      <w:pPr>
        <w:jc w:val="both"/>
        <w:rPr>
          <w:rFonts w:ascii="Times New Roman" w:hAnsi="Times New Roman"/>
          <w:sz w:val="28"/>
          <w:szCs w:val="28"/>
        </w:rPr>
      </w:pPr>
      <w:r w:rsidRPr="00CE4B80">
        <w:rPr>
          <w:rFonts w:ascii="Times New Roman" w:hAnsi="Times New Roman"/>
          <w:sz w:val="28"/>
          <w:szCs w:val="28"/>
        </w:rPr>
        <w:t>Si aucune mention du procès-verbal ne fait état de la présence du conseil à l’interrogatoire de son client ou tout au moins de l’appel de celui-là à venir participer à l’interrogatoire, il y a violation manifeste de la loi et le procès-verbal doit être en conséquence annulé même d’office.</w:t>
      </w:r>
    </w:p>
    <w:p w:rsidR="00190028" w:rsidRPr="008602A2" w:rsidRDefault="00190028" w:rsidP="007945E0">
      <w:pPr>
        <w:jc w:val="both"/>
        <w:rPr>
          <w:rFonts w:ascii="Times New Roman" w:hAnsi="Times New Roman"/>
          <w:i/>
          <w:sz w:val="28"/>
          <w:szCs w:val="28"/>
        </w:rPr>
      </w:pPr>
      <w:r w:rsidRPr="008602A2">
        <w:rPr>
          <w:rFonts w:ascii="Times New Roman" w:hAnsi="Times New Roman"/>
          <w:i/>
          <w:sz w:val="28"/>
          <w:szCs w:val="28"/>
        </w:rPr>
        <w:t xml:space="preserve">Le TGI de Kaolack a annulé le procès-verbal d’interrogatoire au fond et de confrontation de </w:t>
      </w:r>
      <w:proofErr w:type="spellStart"/>
      <w:r w:rsidRPr="008602A2">
        <w:rPr>
          <w:rFonts w:ascii="Times New Roman" w:hAnsi="Times New Roman"/>
          <w:i/>
          <w:sz w:val="28"/>
          <w:szCs w:val="28"/>
        </w:rPr>
        <w:t>Bineta</w:t>
      </w:r>
      <w:proofErr w:type="spellEnd"/>
      <w:r w:rsidRPr="008602A2">
        <w:rPr>
          <w:rFonts w:ascii="Times New Roman" w:hAnsi="Times New Roman"/>
          <w:i/>
          <w:sz w:val="28"/>
          <w:szCs w:val="28"/>
        </w:rPr>
        <w:t xml:space="preserve"> KA dans la procédure suivie contre cette dernière pour coups et blessures volontaires avec préméditation et amputation au motif que le juge d’instruction l’avait entendu</w:t>
      </w:r>
      <w:r w:rsidR="008602A2">
        <w:rPr>
          <w:rFonts w:ascii="Times New Roman" w:hAnsi="Times New Roman"/>
          <w:i/>
          <w:sz w:val="28"/>
          <w:szCs w:val="28"/>
        </w:rPr>
        <w:t>e</w:t>
      </w:r>
      <w:r w:rsidRPr="008602A2">
        <w:rPr>
          <w:rFonts w:ascii="Times New Roman" w:hAnsi="Times New Roman"/>
          <w:i/>
          <w:sz w:val="28"/>
          <w:szCs w:val="28"/>
        </w:rPr>
        <w:t xml:space="preserve"> au fond hors la présence de son conseil, aucune mention du procès-verbal ne faisant état de ce que ce dernier a été invité à venir participer à l’interrogatoire.</w:t>
      </w:r>
    </w:p>
    <w:p w:rsidR="00190028" w:rsidRPr="008602A2" w:rsidRDefault="00190028" w:rsidP="007945E0">
      <w:pPr>
        <w:jc w:val="both"/>
        <w:rPr>
          <w:rFonts w:ascii="Times New Roman" w:hAnsi="Times New Roman"/>
          <w:i/>
          <w:sz w:val="28"/>
          <w:szCs w:val="28"/>
        </w:rPr>
      </w:pPr>
      <w:r w:rsidRPr="008602A2">
        <w:rPr>
          <w:rFonts w:ascii="Times New Roman" w:hAnsi="Times New Roman"/>
          <w:i/>
          <w:sz w:val="28"/>
          <w:szCs w:val="28"/>
        </w:rPr>
        <w:t xml:space="preserve">Dans l’affaire Ministère public contre </w:t>
      </w:r>
      <w:r w:rsidRPr="008602A2">
        <w:rPr>
          <w:rFonts w:ascii="Times New Roman" w:hAnsi="Times New Roman"/>
          <w:b/>
          <w:i/>
          <w:sz w:val="28"/>
          <w:szCs w:val="28"/>
        </w:rPr>
        <w:t xml:space="preserve">Vieux </w:t>
      </w:r>
      <w:proofErr w:type="spellStart"/>
      <w:r w:rsidRPr="008602A2">
        <w:rPr>
          <w:rFonts w:ascii="Times New Roman" w:hAnsi="Times New Roman"/>
          <w:b/>
          <w:i/>
          <w:sz w:val="28"/>
          <w:szCs w:val="28"/>
        </w:rPr>
        <w:t>Toumany</w:t>
      </w:r>
      <w:proofErr w:type="spellEnd"/>
      <w:r w:rsidRPr="008602A2">
        <w:rPr>
          <w:rFonts w:ascii="Times New Roman" w:hAnsi="Times New Roman"/>
          <w:b/>
          <w:i/>
          <w:sz w:val="28"/>
          <w:szCs w:val="28"/>
        </w:rPr>
        <w:t xml:space="preserve"> D</w:t>
      </w:r>
      <w:r w:rsidR="008602A2" w:rsidRPr="008602A2">
        <w:rPr>
          <w:rFonts w:ascii="Times New Roman" w:hAnsi="Times New Roman"/>
          <w:b/>
          <w:i/>
          <w:sz w:val="28"/>
          <w:szCs w:val="28"/>
        </w:rPr>
        <w:t>I</w:t>
      </w:r>
      <w:r w:rsidRPr="008602A2">
        <w:rPr>
          <w:rFonts w:ascii="Times New Roman" w:hAnsi="Times New Roman"/>
          <w:b/>
          <w:i/>
          <w:sz w:val="28"/>
          <w:szCs w:val="28"/>
        </w:rPr>
        <w:t>EDHIOU</w:t>
      </w:r>
      <w:r w:rsidRPr="008602A2">
        <w:rPr>
          <w:rFonts w:ascii="Times New Roman" w:hAnsi="Times New Roman"/>
          <w:i/>
          <w:sz w:val="28"/>
          <w:szCs w:val="28"/>
        </w:rPr>
        <w:t xml:space="preserve"> et </w:t>
      </w:r>
      <w:r w:rsidRPr="008602A2">
        <w:rPr>
          <w:rFonts w:ascii="Times New Roman" w:hAnsi="Times New Roman"/>
          <w:b/>
          <w:i/>
          <w:sz w:val="28"/>
          <w:szCs w:val="28"/>
        </w:rPr>
        <w:t>Jean Pierre Michael BOUSSY</w:t>
      </w:r>
      <w:r w:rsidRPr="008602A2">
        <w:rPr>
          <w:rFonts w:ascii="Times New Roman" w:hAnsi="Times New Roman"/>
          <w:i/>
          <w:sz w:val="28"/>
          <w:szCs w:val="28"/>
        </w:rPr>
        <w:t xml:space="preserve"> (</w:t>
      </w:r>
      <w:r w:rsidRPr="008602A2">
        <w:rPr>
          <w:rFonts w:ascii="Times New Roman" w:hAnsi="Times New Roman"/>
          <w:b/>
          <w:i/>
          <w:sz w:val="28"/>
          <w:szCs w:val="28"/>
        </w:rPr>
        <w:t xml:space="preserve">jugement n°48/16 du 18 novembre </w:t>
      </w:r>
      <w:r w:rsidR="008602A2" w:rsidRPr="008602A2">
        <w:rPr>
          <w:rFonts w:ascii="Times New Roman" w:hAnsi="Times New Roman"/>
          <w:b/>
          <w:i/>
          <w:sz w:val="28"/>
          <w:szCs w:val="28"/>
        </w:rPr>
        <w:t>201</w:t>
      </w:r>
      <w:r w:rsidRPr="008602A2">
        <w:rPr>
          <w:rFonts w:ascii="Times New Roman" w:hAnsi="Times New Roman"/>
          <w:b/>
          <w:i/>
          <w:sz w:val="28"/>
          <w:szCs w:val="28"/>
        </w:rPr>
        <w:t>6</w:t>
      </w:r>
      <w:r w:rsidRPr="008602A2">
        <w:rPr>
          <w:rFonts w:ascii="Times New Roman" w:hAnsi="Times New Roman"/>
          <w:i/>
          <w:sz w:val="28"/>
          <w:szCs w:val="28"/>
        </w:rPr>
        <w:t>), le juge d’instruction, après avoir commis un seul conseil pour les deux inculpés à l’interrogatoire de première comparution</w:t>
      </w:r>
      <w:r w:rsidR="008602A2">
        <w:rPr>
          <w:rFonts w:ascii="Times New Roman" w:hAnsi="Times New Roman"/>
          <w:i/>
          <w:sz w:val="28"/>
          <w:szCs w:val="28"/>
        </w:rPr>
        <w:t>,</w:t>
      </w:r>
      <w:r w:rsidRPr="008602A2">
        <w:rPr>
          <w:rFonts w:ascii="Times New Roman" w:hAnsi="Times New Roman"/>
          <w:i/>
          <w:sz w:val="28"/>
          <w:szCs w:val="28"/>
        </w:rPr>
        <w:t xml:space="preserve"> a confronté ces derniers avec le même conseil qui avait renoncé à sa présence, alors qu’ils s’accusaient l’un l’autre des faits qui leur étaient reprochés.</w:t>
      </w:r>
    </w:p>
    <w:p w:rsidR="00190028" w:rsidRPr="008602A2" w:rsidRDefault="005924BE" w:rsidP="007945E0">
      <w:pPr>
        <w:jc w:val="both"/>
        <w:rPr>
          <w:rFonts w:ascii="Times New Roman" w:hAnsi="Times New Roman"/>
          <w:i/>
          <w:sz w:val="28"/>
          <w:szCs w:val="28"/>
        </w:rPr>
      </w:pPr>
      <w:r w:rsidRPr="00CE4B80">
        <w:rPr>
          <w:rFonts w:ascii="Times New Roman" w:hAnsi="Times New Roman"/>
          <w:sz w:val="28"/>
          <w:szCs w:val="28"/>
        </w:rPr>
        <w:t xml:space="preserve">Le tribunal avait annulé ce procès-verbal de confrontation estimant qu’un seul conseil ne pouvait défendre les intérêts divergents de deux inculpés, à partir du moment où ces derniers se rejetaient la responsabilité des faits qui leur étaient reprochés. </w:t>
      </w:r>
      <w:r w:rsidRPr="008602A2">
        <w:rPr>
          <w:rFonts w:ascii="Times New Roman" w:hAnsi="Times New Roman"/>
          <w:i/>
          <w:sz w:val="28"/>
          <w:szCs w:val="28"/>
        </w:rPr>
        <w:t>L’un au moins des inculpé</w:t>
      </w:r>
      <w:r w:rsidR="008602A2" w:rsidRPr="008602A2">
        <w:rPr>
          <w:rFonts w:ascii="Times New Roman" w:hAnsi="Times New Roman"/>
          <w:i/>
          <w:sz w:val="28"/>
          <w:szCs w:val="28"/>
        </w:rPr>
        <w:t>s</w:t>
      </w:r>
      <w:r w:rsidRPr="008602A2">
        <w:rPr>
          <w:rFonts w:ascii="Times New Roman" w:hAnsi="Times New Roman"/>
          <w:i/>
          <w:sz w:val="28"/>
          <w:szCs w:val="28"/>
        </w:rPr>
        <w:t xml:space="preserve"> a été entendu sans conseil.</w:t>
      </w:r>
    </w:p>
    <w:p w:rsidR="005924BE" w:rsidRPr="00CE4B80" w:rsidRDefault="005924BE" w:rsidP="007945E0">
      <w:pPr>
        <w:jc w:val="both"/>
        <w:rPr>
          <w:rFonts w:ascii="Times New Roman" w:hAnsi="Times New Roman"/>
          <w:b/>
          <w:sz w:val="28"/>
          <w:szCs w:val="28"/>
        </w:rPr>
      </w:pPr>
      <w:r w:rsidRPr="00CE4B80">
        <w:rPr>
          <w:rFonts w:ascii="Times New Roman" w:hAnsi="Times New Roman"/>
          <w:b/>
          <w:sz w:val="28"/>
          <w:szCs w:val="28"/>
        </w:rPr>
        <w:t>3</w:t>
      </w:r>
      <w:r w:rsidR="008602A2">
        <w:rPr>
          <w:rFonts w:ascii="Times New Roman" w:hAnsi="Times New Roman"/>
          <w:b/>
          <w:sz w:val="28"/>
          <w:szCs w:val="28"/>
        </w:rPr>
        <w:t>. L</w:t>
      </w:r>
      <w:r w:rsidRPr="00CE4B80">
        <w:rPr>
          <w:rFonts w:ascii="Times New Roman" w:hAnsi="Times New Roman"/>
          <w:b/>
          <w:sz w:val="28"/>
          <w:szCs w:val="28"/>
        </w:rPr>
        <w:t>es annulations fondées sur l’article 166 du CPP</w:t>
      </w:r>
    </w:p>
    <w:p w:rsidR="005924BE" w:rsidRPr="00CE4B80" w:rsidRDefault="007402CE" w:rsidP="007945E0">
      <w:pPr>
        <w:jc w:val="both"/>
        <w:rPr>
          <w:rFonts w:ascii="Times New Roman" w:hAnsi="Times New Roman"/>
          <w:sz w:val="28"/>
          <w:szCs w:val="28"/>
        </w:rPr>
      </w:pPr>
      <w:r w:rsidRPr="00CE4B80">
        <w:rPr>
          <w:rFonts w:ascii="Times New Roman" w:hAnsi="Times New Roman"/>
          <w:sz w:val="28"/>
          <w:szCs w:val="28"/>
        </w:rPr>
        <w:t>Annulation exclusivement réservée à la chambre d’</w:t>
      </w:r>
      <w:r w:rsidR="004549BC" w:rsidRPr="00CE4B80">
        <w:rPr>
          <w:rFonts w:ascii="Times New Roman" w:hAnsi="Times New Roman"/>
          <w:sz w:val="28"/>
          <w:szCs w:val="28"/>
        </w:rPr>
        <w:t>accusation</w:t>
      </w:r>
    </w:p>
    <w:p w:rsidR="007402CE" w:rsidRPr="00CE4B80" w:rsidRDefault="007402CE" w:rsidP="007945E0">
      <w:pPr>
        <w:jc w:val="both"/>
        <w:rPr>
          <w:rFonts w:ascii="Times New Roman" w:hAnsi="Times New Roman"/>
          <w:sz w:val="28"/>
          <w:szCs w:val="28"/>
        </w:rPr>
      </w:pPr>
      <w:r w:rsidRPr="00CE4B80">
        <w:rPr>
          <w:rFonts w:ascii="Times New Roman" w:hAnsi="Times New Roman"/>
          <w:sz w:val="28"/>
          <w:szCs w:val="28"/>
        </w:rPr>
        <w:lastRenderedPageBreak/>
        <w:t>L’article 166 du CPP dispose :</w:t>
      </w:r>
      <w:r w:rsidR="008602A2">
        <w:rPr>
          <w:rFonts w:ascii="Times New Roman" w:hAnsi="Times New Roman"/>
          <w:sz w:val="28"/>
          <w:szCs w:val="28"/>
        </w:rPr>
        <w:t xml:space="preserve"> « </w:t>
      </w:r>
      <w:r w:rsidRPr="00CE4B80">
        <w:rPr>
          <w:rFonts w:ascii="Times New Roman" w:hAnsi="Times New Roman"/>
          <w:sz w:val="28"/>
          <w:szCs w:val="28"/>
        </w:rPr>
        <w:t xml:space="preserve">il y a également nullité en cas de violation des </w:t>
      </w:r>
      <w:r w:rsidR="004549BC" w:rsidRPr="00CE4B80">
        <w:rPr>
          <w:rFonts w:ascii="Times New Roman" w:hAnsi="Times New Roman"/>
          <w:sz w:val="28"/>
          <w:szCs w:val="28"/>
        </w:rPr>
        <w:t>dispositions</w:t>
      </w:r>
      <w:r w:rsidRPr="00CE4B80">
        <w:rPr>
          <w:rFonts w:ascii="Times New Roman" w:hAnsi="Times New Roman"/>
          <w:sz w:val="28"/>
          <w:szCs w:val="28"/>
        </w:rPr>
        <w:t xml:space="preserve"> </w:t>
      </w:r>
      <w:r w:rsidR="004549BC" w:rsidRPr="00CE4B80">
        <w:rPr>
          <w:rFonts w:ascii="Times New Roman" w:hAnsi="Times New Roman"/>
          <w:sz w:val="28"/>
          <w:szCs w:val="28"/>
        </w:rPr>
        <w:t>substantielles</w:t>
      </w:r>
      <w:r w:rsidRPr="00CE4B80">
        <w:rPr>
          <w:rFonts w:ascii="Times New Roman" w:hAnsi="Times New Roman"/>
          <w:sz w:val="28"/>
          <w:szCs w:val="28"/>
        </w:rPr>
        <w:t xml:space="preserve"> du présent </w:t>
      </w:r>
      <w:r w:rsidR="004549BC" w:rsidRPr="00CE4B80">
        <w:rPr>
          <w:rFonts w:ascii="Times New Roman" w:hAnsi="Times New Roman"/>
          <w:sz w:val="28"/>
          <w:szCs w:val="28"/>
        </w:rPr>
        <w:t>titre</w:t>
      </w:r>
      <w:r w:rsidRPr="00CE4B80">
        <w:rPr>
          <w:rFonts w:ascii="Times New Roman" w:hAnsi="Times New Roman"/>
          <w:sz w:val="28"/>
          <w:szCs w:val="28"/>
        </w:rPr>
        <w:t>, autres que celles visées à l’article 164 et notamment en cas de violation des droits de la défense.</w:t>
      </w:r>
    </w:p>
    <w:p w:rsidR="007402CE" w:rsidRPr="00CE4B80" w:rsidRDefault="007402CE" w:rsidP="007945E0">
      <w:pPr>
        <w:jc w:val="both"/>
        <w:rPr>
          <w:rFonts w:ascii="Times New Roman" w:hAnsi="Times New Roman"/>
          <w:sz w:val="28"/>
          <w:szCs w:val="28"/>
        </w:rPr>
      </w:pPr>
      <w:r w:rsidRPr="00CE4B80">
        <w:rPr>
          <w:rFonts w:ascii="Times New Roman" w:hAnsi="Times New Roman"/>
          <w:sz w:val="28"/>
          <w:szCs w:val="28"/>
        </w:rPr>
        <w:t xml:space="preserve">La </w:t>
      </w:r>
      <w:r w:rsidR="004549BC" w:rsidRPr="00CE4B80">
        <w:rPr>
          <w:rFonts w:ascii="Times New Roman" w:hAnsi="Times New Roman"/>
          <w:sz w:val="28"/>
          <w:szCs w:val="28"/>
        </w:rPr>
        <w:t>chambre</w:t>
      </w:r>
      <w:r w:rsidRPr="00CE4B80">
        <w:rPr>
          <w:rFonts w:ascii="Times New Roman" w:hAnsi="Times New Roman"/>
          <w:sz w:val="28"/>
          <w:szCs w:val="28"/>
        </w:rPr>
        <w:t xml:space="preserve"> d’accusation décide si l’annulation doit être limitée à l’</w:t>
      </w:r>
      <w:r w:rsidR="004549BC" w:rsidRPr="00CE4B80">
        <w:rPr>
          <w:rFonts w:ascii="Times New Roman" w:hAnsi="Times New Roman"/>
          <w:sz w:val="28"/>
          <w:szCs w:val="28"/>
        </w:rPr>
        <w:t>a</w:t>
      </w:r>
      <w:r w:rsidRPr="00CE4B80">
        <w:rPr>
          <w:rFonts w:ascii="Times New Roman" w:hAnsi="Times New Roman"/>
          <w:sz w:val="28"/>
          <w:szCs w:val="28"/>
        </w:rPr>
        <w:t>cte vicié ou s’</w:t>
      </w:r>
      <w:r w:rsidR="008602A2">
        <w:rPr>
          <w:rFonts w:ascii="Times New Roman" w:hAnsi="Times New Roman"/>
          <w:sz w:val="28"/>
          <w:szCs w:val="28"/>
        </w:rPr>
        <w:t>é</w:t>
      </w:r>
      <w:r w:rsidR="004549BC" w:rsidRPr="00CE4B80">
        <w:rPr>
          <w:rFonts w:ascii="Times New Roman" w:hAnsi="Times New Roman"/>
          <w:sz w:val="28"/>
          <w:szCs w:val="28"/>
        </w:rPr>
        <w:t>tendre</w:t>
      </w:r>
      <w:r w:rsidRPr="00CE4B80">
        <w:rPr>
          <w:rFonts w:ascii="Times New Roman" w:hAnsi="Times New Roman"/>
          <w:sz w:val="28"/>
          <w:szCs w:val="28"/>
        </w:rPr>
        <w:t xml:space="preserve"> à tout ou </w:t>
      </w:r>
      <w:r w:rsidR="004549BC" w:rsidRPr="00CE4B80">
        <w:rPr>
          <w:rFonts w:ascii="Times New Roman" w:hAnsi="Times New Roman"/>
          <w:sz w:val="28"/>
          <w:szCs w:val="28"/>
        </w:rPr>
        <w:t>partie</w:t>
      </w:r>
      <w:r w:rsidRPr="00CE4B80">
        <w:rPr>
          <w:rFonts w:ascii="Times New Roman" w:hAnsi="Times New Roman"/>
          <w:sz w:val="28"/>
          <w:szCs w:val="28"/>
        </w:rPr>
        <w:t xml:space="preserve"> de la </w:t>
      </w:r>
      <w:r w:rsidR="004549BC" w:rsidRPr="00CE4B80">
        <w:rPr>
          <w:rFonts w:ascii="Times New Roman" w:hAnsi="Times New Roman"/>
          <w:sz w:val="28"/>
          <w:szCs w:val="28"/>
        </w:rPr>
        <w:t>procédure</w:t>
      </w:r>
      <w:r w:rsidRPr="00CE4B80">
        <w:rPr>
          <w:rFonts w:ascii="Times New Roman" w:hAnsi="Times New Roman"/>
          <w:sz w:val="28"/>
          <w:szCs w:val="28"/>
        </w:rPr>
        <w:t> ».</w:t>
      </w:r>
    </w:p>
    <w:p w:rsidR="007402CE" w:rsidRPr="00CE4B80" w:rsidRDefault="007402CE" w:rsidP="007945E0">
      <w:pPr>
        <w:jc w:val="both"/>
        <w:rPr>
          <w:rFonts w:ascii="Times New Roman" w:hAnsi="Times New Roman"/>
          <w:sz w:val="28"/>
          <w:szCs w:val="28"/>
        </w:rPr>
      </w:pPr>
      <w:r w:rsidRPr="00CE4B80">
        <w:rPr>
          <w:rFonts w:ascii="Times New Roman" w:hAnsi="Times New Roman"/>
          <w:sz w:val="28"/>
          <w:szCs w:val="28"/>
        </w:rPr>
        <w:t>La nullité fondée sur ce texte a été soulevée par maître</w:t>
      </w:r>
      <w:r w:rsidR="00163FD9">
        <w:rPr>
          <w:rFonts w:ascii="Times New Roman" w:hAnsi="Times New Roman"/>
          <w:sz w:val="28"/>
          <w:szCs w:val="28"/>
        </w:rPr>
        <w:t>s</w:t>
      </w:r>
      <w:r w:rsidRPr="00CE4B80">
        <w:rPr>
          <w:rFonts w:ascii="Times New Roman" w:hAnsi="Times New Roman"/>
          <w:sz w:val="28"/>
          <w:szCs w:val="28"/>
        </w:rPr>
        <w:t xml:space="preserve"> </w:t>
      </w:r>
      <w:proofErr w:type="spellStart"/>
      <w:r w:rsidRPr="00CE4B80">
        <w:rPr>
          <w:rFonts w:ascii="Times New Roman" w:hAnsi="Times New Roman"/>
          <w:sz w:val="28"/>
          <w:szCs w:val="28"/>
        </w:rPr>
        <w:t>Ndiack</w:t>
      </w:r>
      <w:proofErr w:type="spellEnd"/>
      <w:r w:rsidRPr="00CE4B80">
        <w:rPr>
          <w:rFonts w:ascii="Times New Roman" w:hAnsi="Times New Roman"/>
          <w:sz w:val="28"/>
          <w:szCs w:val="28"/>
        </w:rPr>
        <w:t xml:space="preserve"> BA et </w:t>
      </w:r>
      <w:proofErr w:type="spellStart"/>
      <w:r w:rsidRPr="00CE4B80">
        <w:rPr>
          <w:rFonts w:ascii="Times New Roman" w:hAnsi="Times New Roman"/>
          <w:sz w:val="28"/>
          <w:szCs w:val="28"/>
        </w:rPr>
        <w:t>Macodou</w:t>
      </w:r>
      <w:proofErr w:type="spellEnd"/>
      <w:r w:rsidRPr="00CE4B80">
        <w:rPr>
          <w:rFonts w:ascii="Times New Roman" w:hAnsi="Times New Roman"/>
          <w:sz w:val="28"/>
          <w:szCs w:val="28"/>
        </w:rPr>
        <w:t xml:space="preserve"> NDOUR le 06 février 2018 </w:t>
      </w:r>
      <w:r w:rsidR="004549BC" w:rsidRPr="00CE4B80">
        <w:rPr>
          <w:rFonts w:ascii="Times New Roman" w:hAnsi="Times New Roman"/>
          <w:sz w:val="28"/>
          <w:szCs w:val="28"/>
        </w:rPr>
        <w:t>dans</w:t>
      </w:r>
      <w:r w:rsidRPr="00CE4B80">
        <w:rPr>
          <w:rFonts w:ascii="Times New Roman" w:hAnsi="Times New Roman"/>
          <w:sz w:val="28"/>
          <w:szCs w:val="28"/>
        </w:rPr>
        <w:t xml:space="preserve"> l’affaire </w:t>
      </w:r>
      <w:r w:rsidR="00163FD9">
        <w:rPr>
          <w:rFonts w:ascii="Times New Roman" w:hAnsi="Times New Roman"/>
          <w:sz w:val="28"/>
          <w:szCs w:val="28"/>
        </w:rPr>
        <w:t>M</w:t>
      </w:r>
      <w:r w:rsidRPr="00CE4B80">
        <w:rPr>
          <w:rFonts w:ascii="Times New Roman" w:hAnsi="Times New Roman"/>
          <w:sz w:val="28"/>
          <w:szCs w:val="28"/>
        </w:rPr>
        <w:t xml:space="preserve">P contre </w:t>
      </w:r>
      <w:proofErr w:type="spellStart"/>
      <w:r w:rsidRPr="00CE4B80">
        <w:rPr>
          <w:rFonts w:ascii="Times New Roman" w:hAnsi="Times New Roman"/>
          <w:sz w:val="28"/>
          <w:szCs w:val="28"/>
        </w:rPr>
        <w:t>Mahamdadine</w:t>
      </w:r>
      <w:proofErr w:type="spellEnd"/>
      <w:r w:rsidRPr="00CE4B80">
        <w:rPr>
          <w:rFonts w:ascii="Times New Roman" w:hAnsi="Times New Roman"/>
          <w:sz w:val="28"/>
          <w:szCs w:val="28"/>
        </w:rPr>
        <w:t xml:space="preserve"> CISSE et </w:t>
      </w:r>
      <w:proofErr w:type="spellStart"/>
      <w:r w:rsidRPr="00CE4B80">
        <w:rPr>
          <w:rFonts w:ascii="Times New Roman" w:hAnsi="Times New Roman"/>
          <w:sz w:val="28"/>
          <w:szCs w:val="28"/>
        </w:rPr>
        <w:t>Ossigbovo</w:t>
      </w:r>
      <w:proofErr w:type="spellEnd"/>
      <w:r w:rsidRPr="00CE4B80">
        <w:rPr>
          <w:rFonts w:ascii="Times New Roman" w:hAnsi="Times New Roman"/>
          <w:sz w:val="28"/>
          <w:szCs w:val="28"/>
        </w:rPr>
        <w:t xml:space="preserve"> Thomas UWUILEKHUE accusé de trafic intérieur de chanvre indien et de contrebande faits prévus et punis par les articles 97 du code de</w:t>
      </w:r>
      <w:r w:rsidR="008602A2">
        <w:rPr>
          <w:rFonts w:ascii="Times New Roman" w:hAnsi="Times New Roman"/>
          <w:sz w:val="28"/>
          <w:szCs w:val="28"/>
        </w:rPr>
        <w:t>s</w:t>
      </w:r>
      <w:r w:rsidRPr="00CE4B80">
        <w:rPr>
          <w:rFonts w:ascii="Times New Roman" w:hAnsi="Times New Roman"/>
          <w:sz w:val="28"/>
          <w:szCs w:val="28"/>
        </w:rPr>
        <w:t xml:space="preserve"> drogues et 391 et suivants du code de douane.</w:t>
      </w:r>
    </w:p>
    <w:p w:rsidR="007402CE" w:rsidRPr="00CE4B80" w:rsidRDefault="007402CE" w:rsidP="007945E0">
      <w:pPr>
        <w:jc w:val="both"/>
        <w:rPr>
          <w:rFonts w:ascii="Times New Roman" w:hAnsi="Times New Roman"/>
          <w:sz w:val="28"/>
          <w:szCs w:val="28"/>
        </w:rPr>
      </w:pPr>
      <w:r w:rsidRPr="00CE4B80">
        <w:rPr>
          <w:rFonts w:ascii="Times New Roman" w:hAnsi="Times New Roman"/>
          <w:sz w:val="28"/>
          <w:szCs w:val="28"/>
        </w:rPr>
        <w:t>Les conseil</w:t>
      </w:r>
      <w:r w:rsidR="004549BC" w:rsidRPr="00CE4B80">
        <w:rPr>
          <w:rFonts w:ascii="Times New Roman" w:hAnsi="Times New Roman"/>
          <w:sz w:val="28"/>
          <w:szCs w:val="28"/>
        </w:rPr>
        <w:t>s</w:t>
      </w:r>
      <w:r w:rsidRPr="00CE4B80">
        <w:rPr>
          <w:rFonts w:ascii="Times New Roman" w:hAnsi="Times New Roman"/>
          <w:sz w:val="28"/>
          <w:szCs w:val="28"/>
        </w:rPr>
        <w:t xml:space="preserve"> avaient estimé que l</w:t>
      </w:r>
      <w:r w:rsidR="004549BC" w:rsidRPr="00CE4B80">
        <w:rPr>
          <w:rFonts w:ascii="Times New Roman" w:hAnsi="Times New Roman"/>
          <w:sz w:val="28"/>
          <w:szCs w:val="28"/>
        </w:rPr>
        <w:t>e</w:t>
      </w:r>
      <w:r w:rsidRPr="00CE4B80">
        <w:rPr>
          <w:rFonts w:ascii="Times New Roman" w:hAnsi="Times New Roman"/>
          <w:sz w:val="28"/>
          <w:szCs w:val="28"/>
        </w:rPr>
        <w:t>s enquêteurs avaient auditionné les mis en cause sans l’assistance d’un interprète alo</w:t>
      </w:r>
      <w:r w:rsidR="004549BC" w:rsidRPr="00CE4B80">
        <w:rPr>
          <w:rFonts w:ascii="Times New Roman" w:hAnsi="Times New Roman"/>
          <w:sz w:val="28"/>
          <w:szCs w:val="28"/>
        </w:rPr>
        <w:t>r</w:t>
      </w:r>
      <w:r w:rsidRPr="00CE4B80">
        <w:rPr>
          <w:rFonts w:ascii="Times New Roman" w:hAnsi="Times New Roman"/>
          <w:sz w:val="28"/>
          <w:szCs w:val="28"/>
        </w:rPr>
        <w:t xml:space="preserve">s que </w:t>
      </w:r>
      <w:proofErr w:type="spellStart"/>
      <w:r w:rsidRPr="00CE4B80">
        <w:rPr>
          <w:rFonts w:ascii="Times New Roman" w:hAnsi="Times New Roman"/>
          <w:sz w:val="28"/>
          <w:szCs w:val="28"/>
        </w:rPr>
        <w:t>Ossigbovo</w:t>
      </w:r>
      <w:proofErr w:type="spellEnd"/>
      <w:r w:rsidRPr="00CE4B80">
        <w:rPr>
          <w:rFonts w:ascii="Times New Roman" w:hAnsi="Times New Roman"/>
          <w:sz w:val="28"/>
          <w:szCs w:val="28"/>
        </w:rPr>
        <w:t xml:space="preserve"> Thomas UWUILEKHUE ne parlait que la langue anglaise. </w:t>
      </w:r>
      <w:r w:rsidR="008602A2">
        <w:rPr>
          <w:rFonts w:ascii="Times New Roman" w:hAnsi="Times New Roman"/>
          <w:sz w:val="28"/>
          <w:szCs w:val="28"/>
        </w:rPr>
        <w:t>Ils</w:t>
      </w:r>
      <w:r w:rsidRPr="00CE4B80">
        <w:rPr>
          <w:rFonts w:ascii="Times New Roman" w:hAnsi="Times New Roman"/>
          <w:sz w:val="28"/>
          <w:szCs w:val="28"/>
        </w:rPr>
        <w:t xml:space="preserve"> av</w:t>
      </w:r>
      <w:r w:rsidR="004549BC" w:rsidRPr="00CE4B80">
        <w:rPr>
          <w:rFonts w:ascii="Times New Roman" w:hAnsi="Times New Roman"/>
          <w:sz w:val="28"/>
          <w:szCs w:val="28"/>
        </w:rPr>
        <w:t>a</w:t>
      </w:r>
      <w:r w:rsidRPr="00CE4B80">
        <w:rPr>
          <w:rFonts w:ascii="Times New Roman" w:hAnsi="Times New Roman"/>
          <w:sz w:val="28"/>
          <w:szCs w:val="28"/>
        </w:rPr>
        <w:t>ient ajouté qu</w:t>
      </w:r>
      <w:r w:rsidR="004549BC" w:rsidRPr="00CE4B80">
        <w:rPr>
          <w:rFonts w:ascii="Times New Roman" w:hAnsi="Times New Roman"/>
          <w:sz w:val="28"/>
          <w:szCs w:val="28"/>
        </w:rPr>
        <w:t>e</w:t>
      </w:r>
      <w:r w:rsidRPr="00CE4B80">
        <w:rPr>
          <w:rFonts w:ascii="Times New Roman" w:hAnsi="Times New Roman"/>
          <w:sz w:val="28"/>
          <w:szCs w:val="28"/>
        </w:rPr>
        <w:t xml:space="preserve"> les douaniers s’étaient </w:t>
      </w:r>
      <w:r w:rsidR="004549BC" w:rsidRPr="00CE4B80">
        <w:rPr>
          <w:rFonts w:ascii="Times New Roman" w:hAnsi="Times New Roman"/>
          <w:sz w:val="28"/>
          <w:szCs w:val="28"/>
        </w:rPr>
        <w:t>permise</w:t>
      </w:r>
      <w:r w:rsidRPr="00CE4B80">
        <w:rPr>
          <w:rFonts w:ascii="Times New Roman" w:hAnsi="Times New Roman"/>
          <w:sz w:val="28"/>
          <w:szCs w:val="28"/>
        </w:rPr>
        <w:t xml:space="preserve"> de se servie de</w:t>
      </w:r>
      <w:r w:rsidR="00165203" w:rsidRPr="00CE4B80">
        <w:rPr>
          <w:rFonts w:ascii="Times New Roman" w:hAnsi="Times New Roman"/>
          <w:sz w:val="28"/>
          <w:szCs w:val="28"/>
        </w:rPr>
        <w:t xml:space="preserve"> </w:t>
      </w:r>
      <w:proofErr w:type="spellStart"/>
      <w:r w:rsidR="00165203" w:rsidRPr="00CE4B80">
        <w:rPr>
          <w:rFonts w:ascii="Times New Roman" w:hAnsi="Times New Roman"/>
          <w:sz w:val="28"/>
          <w:szCs w:val="28"/>
        </w:rPr>
        <w:t>Mahamadine</w:t>
      </w:r>
      <w:proofErr w:type="spellEnd"/>
      <w:r w:rsidR="00165203" w:rsidRPr="00CE4B80">
        <w:rPr>
          <w:rFonts w:ascii="Times New Roman" w:hAnsi="Times New Roman"/>
          <w:sz w:val="28"/>
          <w:szCs w:val="28"/>
        </w:rPr>
        <w:t xml:space="preserve"> CISSE, son compagnon de fortune, pour leur servir d’interprète dans l’audition de ce dernier.</w:t>
      </w:r>
    </w:p>
    <w:p w:rsidR="00165203" w:rsidRPr="00CE4B80" w:rsidRDefault="00165203" w:rsidP="007945E0">
      <w:pPr>
        <w:jc w:val="both"/>
        <w:rPr>
          <w:rFonts w:ascii="Times New Roman" w:hAnsi="Times New Roman"/>
          <w:sz w:val="28"/>
          <w:szCs w:val="28"/>
        </w:rPr>
      </w:pPr>
      <w:r w:rsidRPr="00CE4B80">
        <w:rPr>
          <w:rFonts w:ascii="Times New Roman" w:hAnsi="Times New Roman"/>
          <w:sz w:val="28"/>
          <w:szCs w:val="28"/>
        </w:rPr>
        <w:t>Les conseils ont estimé que les droits substantiels des mis en cause ont été violé</w:t>
      </w:r>
      <w:r w:rsidR="00163FD9">
        <w:rPr>
          <w:rFonts w:ascii="Times New Roman" w:hAnsi="Times New Roman"/>
          <w:sz w:val="28"/>
          <w:szCs w:val="28"/>
        </w:rPr>
        <w:t>s</w:t>
      </w:r>
      <w:r w:rsidRPr="00CE4B80">
        <w:rPr>
          <w:rFonts w:ascii="Times New Roman" w:hAnsi="Times New Roman"/>
          <w:sz w:val="28"/>
          <w:szCs w:val="28"/>
        </w:rPr>
        <w:t xml:space="preserve"> et avaient sollicité l’annulation conformément à l’article 166 al.1 du CPP, tant du procès-verbal d’aud</w:t>
      </w:r>
      <w:r w:rsidR="00EB52E0" w:rsidRPr="00CE4B80">
        <w:rPr>
          <w:rFonts w:ascii="Times New Roman" w:hAnsi="Times New Roman"/>
          <w:sz w:val="28"/>
          <w:szCs w:val="28"/>
        </w:rPr>
        <w:t>i</w:t>
      </w:r>
      <w:r w:rsidRPr="00CE4B80">
        <w:rPr>
          <w:rFonts w:ascii="Times New Roman" w:hAnsi="Times New Roman"/>
          <w:sz w:val="28"/>
          <w:szCs w:val="28"/>
        </w:rPr>
        <w:t>tion dressé par les douaniers, que de toute la procédure subséquente.</w:t>
      </w:r>
    </w:p>
    <w:p w:rsidR="00165203" w:rsidRPr="00CE4B80" w:rsidRDefault="00165203" w:rsidP="007945E0">
      <w:pPr>
        <w:jc w:val="both"/>
        <w:rPr>
          <w:rFonts w:ascii="Times New Roman" w:hAnsi="Times New Roman"/>
          <w:sz w:val="28"/>
          <w:szCs w:val="28"/>
        </w:rPr>
      </w:pPr>
      <w:r w:rsidRPr="00CE4B80">
        <w:rPr>
          <w:rFonts w:ascii="Times New Roman" w:hAnsi="Times New Roman"/>
          <w:sz w:val="28"/>
          <w:szCs w:val="28"/>
        </w:rPr>
        <w:t xml:space="preserve">Le tribunal avait rejeté l’exception au motif qu’il </w:t>
      </w:r>
      <w:r w:rsidR="00163FD9">
        <w:rPr>
          <w:rFonts w:ascii="Times New Roman" w:hAnsi="Times New Roman"/>
          <w:sz w:val="28"/>
          <w:szCs w:val="28"/>
        </w:rPr>
        <w:t>n</w:t>
      </w:r>
      <w:r w:rsidRPr="00CE4B80">
        <w:rPr>
          <w:rFonts w:ascii="Times New Roman" w:hAnsi="Times New Roman"/>
          <w:sz w:val="28"/>
          <w:szCs w:val="28"/>
        </w:rPr>
        <w:t>’y a pas de nullité sans t</w:t>
      </w:r>
      <w:r w:rsidR="00163FD9">
        <w:rPr>
          <w:rFonts w:ascii="Times New Roman" w:hAnsi="Times New Roman"/>
          <w:sz w:val="28"/>
          <w:szCs w:val="28"/>
        </w:rPr>
        <w:t>exte et que la nullité prévue à l’</w:t>
      </w:r>
      <w:r w:rsidRPr="00CE4B80">
        <w:rPr>
          <w:rFonts w:ascii="Times New Roman" w:hAnsi="Times New Roman"/>
          <w:sz w:val="28"/>
          <w:szCs w:val="28"/>
        </w:rPr>
        <w:t>article 166 du CPP est réservée à la chambre d’accusation.</w:t>
      </w:r>
    </w:p>
    <w:p w:rsidR="00165203" w:rsidRPr="00CE4B80" w:rsidRDefault="00EB52E0" w:rsidP="007945E0">
      <w:pPr>
        <w:jc w:val="both"/>
        <w:rPr>
          <w:rFonts w:ascii="Times New Roman" w:hAnsi="Times New Roman"/>
          <w:b/>
          <w:sz w:val="28"/>
          <w:szCs w:val="28"/>
        </w:rPr>
      </w:pPr>
      <w:r w:rsidRPr="00CE4B80">
        <w:rPr>
          <w:rFonts w:ascii="Times New Roman" w:hAnsi="Times New Roman"/>
          <w:b/>
          <w:sz w:val="28"/>
          <w:szCs w:val="28"/>
        </w:rPr>
        <w:t>4</w:t>
      </w:r>
      <w:r w:rsidR="00163FD9">
        <w:rPr>
          <w:rFonts w:ascii="Times New Roman" w:hAnsi="Times New Roman"/>
          <w:b/>
          <w:sz w:val="28"/>
          <w:szCs w:val="28"/>
        </w:rPr>
        <w:t>. L</w:t>
      </w:r>
      <w:r w:rsidRPr="00CE4B80">
        <w:rPr>
          <w:rFonts w:ascii="Times New Roman" w:hAnsi="Times New Roman"/>
          <w:b/>
          <w:sz w:val="28"/>
          <w:szCs w:val="28"/>
        </w:rPr>
        <w:t>es nullités titrées de la violation de l’article 55 al.9 du CPP</w:t>
      </w:r>
    </w:p>
    <w:p w:rsidR="00EB52E0" w:rsidRPr="00CE4B80" w:rsidRDefault="00F139E4" w:rsidP="007945E0">
      <w:pPr>
        <w:jc w:val="both"/>
        <w:rPr>
          <w:rFonts w:ascii="Times New Roman" w:hAnsi="Times New Roman"/>
          <w:sz w:val="28"/>
          <w:szCs w:val="28"/>
        </w:rPr>
      </w:pPr>
      <w:r w:rsidRPr="00CE4B80">
        <w:rPr>
          <w:rFonts w:ascii="Times New Roman" w:hAnsi="Times New Roman"/>
          <w:sz w:val="28"/>
          <w:szCs w:val="28"/>
        </w:rPr>
        <w:t>« </w:t>
      </w:r>
      <w:proofErr w:type="gramStart"/>
      <w:r w:rsidRPr="00CE4B80">
        <w:rPr>
          <w:rFonts w:ascii="Times New Roman" w:hAnsi="Times New Roman"/>
          <w:sz w:val="28"/>
          <w:szCs w:val="28"/>
        </w:rPr>
        <w:t>en</w:t>
      </w:r>
      <w:proofErr w:type="gramEnd"/>
      <w:r w:rsidRPr="00CE4B80">
        <w:rPr>
          <w:rFonts w:ascii="Times New Roman" w:hAnsi="Times New Roman"/>
          <w:sz w:val="28"/>
          <w:szCs w:val="28"/>
        </w:rPr>
        <w:t xml:space="preserve"> cas de prolongation de la garde à vue, l’officier de police judiciaire informe la personne gardée à vue des motifs de la prolongation en lui donnant connaissance des dispositions de l’article 56 du présent code ». </w:t>
      </w:r>
      <w:r w:rsidR="00163FD9">
        <w:rPr>
          <w:rFonts w:ascii="Times New Roman" w:hAnsi="Times New Roman"/>
          <w:sz w:val="28"/>
          <w:szCs w:val="28"/>
        </w:rPr>
        <w:t>L</w:t>
      </w:r>
      <w:r w:rsidRPr="00CE4B80">
        <w:rPr>
          <w:rFonts w:ascii="Times New Roman" w:hAnsi="Times New Roman"/>
          <w:sz w:val="28"/>
          <w:szCs w:val="28"/>
        </w:rPr>
        <w:t>a loi ajoutait avant la réforme de 2016 que « mention en est faite obligatoirement dans le procès-verbal d’audition à peine de nullité ».</w:t>
      </w:r>
    </w:p>
    <w:p w:rsidR="00F139E4" w:rsidRPr="00CE4B80" w:rsidRDefault="00F139E4" w:rsidP="007945E0">
      <w:pPr>
        <w:jc w:val="both"/>
        <w:rPr>
          <w:rFonts w:ascii="Times New Roman" w:hAnsi="Times New Roman"/>
          <w:sz w:val="28"/>
          <w:szCs w:val="28"/>
        </w:rPr>
      </w:pPr>
      <w:r w:rsidRPr="00CE4B80">
        <w:rPr>
          <w:rFonts w:ascii="Times New Roman" w:hAnsi="Times New Roman"/>
          <w:sz w:val="28"/>
          <w:szCs w:val="28"/>
        </w:rPr>
        <w:t>Dans la rédaction actuelle de l’article 55 du CPP il semble que c’est la mention de la notification à la personne interpellée de son droit de constituer conseil parmi les avocats inscrits au tableau ou admis en stage qui est textuellement et expressément requise à l’alinéa 10 du même texte à peine de nullité.</w:t>
      </w:r>
    </w:p>
    <w:p w:rsidR="00F139E4" w:rsidRPr="00CE4B80" w:rsidRDefault="00F139E4" w:rsidP="007945E0">
      <w:pPr>
        <w:jc w:val="both"/>
        <w:rPr>
          <w:rFonts w:ascii="Times New Roman" w:hAnsi="Times New Roman"/>
          <w:sz w:val="28"/>
          <w:szCs w:val="28"/>
        </w:rPr>
      </w:pPr>
      <w:r w:rsidRPr="00CE4B80">
        <w:rPr>
          <w:rFonts w:ascii="Times New Roman" w:hAnsi="Times New Roman"/>
          <w:sz w:val="28"/>
          <w:szCs w:val="28"/>
        </w:rPr>
        <w:lastRenderedPageBreak/>
        <w:t>Qu’est devenue alors, après la réforme de 2016</w:t>
      </w:r>
      <w:r w:rsidR="00163FD9">
        <w:rPr>
          <w:rFonts w:ascii="Times New Roman" w:hAnsi="Times New Roman"/>
          <w:sz w:val="28"/>
          <w:szCs w:val="28"/>
        </w:rPr>
        <w:t>,</w:t>
      </w:r>
      <w:r w:rsidRPr="00CE4B80">
        <w:rPr>
          <w:rFonts w:ascii="Times New Roman" w:hAnsi="Times New Roman"/>
          <w:sz w:val="28"/>
          <w:szCs w:val="28"/>
        </w:rPr>
        <w:t xml:space="preserve"> la formalité relative à l’information sur les motifs de la prolongation de la garde à vue de l’article 55 du CP ? </w:t>
      </w:r>
      <w:r w:rsidR="00997EC7" w:rsidRPr="00CE4B80">
        <w:rPr>
          <w:rFonts w:ascii="Times New Roman" w:hAnsi="Times New Roman"/>
          <w:sz w:val="28"/>
          <w:szCs w:val="28"/>
        </w:rPr>
        <w:t>Est-elle</w:t>
      </w:r>
      <w:r w:rsidRPr="00CE4B80">
        <w:rPr>
          <w:rFonts w:ascii="Times New Roman" w:hAnsi="Times New Roman"/>
          <w:sz w:val="28"/>
          <w:szCs w:val="28"/>
        </w:rPr>
        <w:t xml:space="preserve"> toujours requise à peine de nullité ?</w:t>
      </w:r>
    </w:p>
    <w:p w:rsidR="00F139E4" w:rsidRPr="00CE4B80" w:rsidRDefault="005B68BC" w:rsidP="007945E0">
      <w:pPr>
        <w:jc w:val="both"/>
        <w:rPr>
          <w:rFonts w:ascii="Times New Roman" w:hAnsi="Times New Roman"/>
          <w:sz w:val="28"/>
          <w:szCs w:val="28"/>
        </w:rPr>
      </w:pPr>
      <w:r w:rsidRPr="00CE4B80">
        <w:rPr>
          <w:rFonts w:ascii="Times New Roman" w:hAnsi="Times New Roman"/>
          <w:sz w:val="28"/>
          <w:szCs w:val="28"/>
        </w:rPr>
        <w:t>Il a été plaidé devant le TGI de Kaolack le 06 février 20</w:t>
      </w:r>
      <w:r w:rsidR="00163FD9">
        <w:rPr>
          <w:rFonts w:ascii="Times New Roman" w:hAnsi="Times New Roman"/>
          <w:sz w:val="28"/>
          <w:szCs w:val="28"/>
        </w:rPr>
        <w:t>1</w:t>
      </w:r>
      <w:r w:rsidRPr="00CE4B80">
        <w:rPr>
          <w:rFonts w:ascii="Times New Roman" w:hAnsi="Times New Roman"/>
          <w:sz w:val="28"/>
          <w:szCs w:val="28"/>
        </w:rPr>
        <w:t xml:space="preserve">8 par maître El Hadji </w:t>
      </w:r>
      <w:proofErr w:type="spellStart"/>
      <w:r w:rsidRPr="00CE4B80">
        <w:rPr>
          <w:rFonts w:ascii="Times New Roman" w:hAnsi="Times New Roman"/>
          <w:sz w:val="28"/>
          <w:szCs w:val="28"/>
        </w:rPr>
        <w:t>Malick</w:t>
      </w:r>
      <w:proofErr w:type="spellEnd"/>
      <w:r w:rsidRPr="00CE4B80">
        <w:rPr>
          <w:rFonts w:ascii="Times New Roman" w:hAnsi="Times New Roman"/>
          <w:sz w:val="28"/>
          <w:szCs w:val="28"/>
        </w:rPr>
        <w:t xml:space="preserve"> DIOUF avocat à la cour, dans l’affaire Ministère public contre Daouda BA, poursuivi pour association de malfaiteurs, vol en réunion commis la nuit  avec port d’arme, coups et blessures volontaires et détention illégale d’arme</w:t>
      </w:r>
      <w:r w:rsidR="00CF25F9" w:rsidRPr="00CE4B80">
        <w:rPr>
          <w:rFonts w:ascii="Times New Roman" w:hAnsi="Times New Roman"/>
          <w:sz w:val="28"/>
          <w:szCs w:val="28"/>
        </w:rPr>
        <w:t xml:space="preserve"> (fais prévus et punis par les </w:t>
      </w:r>
      <w:r w:rsidRPr="00CE4B80">
        <w:rPr>
          <w:rFonts w:ascii="Times New Roman" w:hAnsi="Times New Roman"/>
          <w:sz w:val="28"/>
          <w:szCs w:val="28"/>
        </w:rPr>
        <w:t>articles 238-239, 364, 368 et 294 du CP, et la loi 66-03 du 18 janvier 1966), la nullité du procès-verbal d’enquête de police au motif qu’il ne résultait pas dudit procès-verbal</w:t>
      </w:r>
      <w:r w:rsidR="00163FD9">
        <w:rPr>
          <w:rFonts w:ascii="Times New Roman" w:hAnsi="Times New Roman"/>
          <w:sz w:val="28"/>
          <w:szCs w:val="28"/>
        </w:rPr>
        <w:t>,</w:t>
      </w:r>
      <w:r w:rsidRPr="00CE4B80">
        <w:rPr>
          <w:rFonts w:ascii="Times New Roman" w:hAnsi="Times New Roman"/>
          <w:sz w:val="28"/>
          <w:szCs w:val="28"/>
        </w:rPr>
        <w:t xml:space="preserve"> que notification a été faite à la personne gardée à vue des motifs de la prolongation de sa garde à vue.</w:t>
      </w:r>
    </w:p>
    <w:p w:rsidR="005B68BC" w:rsidRPr="00CE4B80" w:rsidRDefault="00CF25F9" w:rsidP="007945E0">
      <w:pPr>
        <w:jc w:val="both"/>
        <w:rPr>
          <w:rFonts w:ascii="Times New Roman" w:hAnsi="Times New Roman"/>
          <w:sz w:val="28"/>
          <w:szCs w:val="28"/>
        </w:rPr>
      </w:pPr>
      <w:r w:rsidRPr="00CE4B80">
        <w:rPr>
          <w:rFonts w:ascii="Times New Roman" w:hAnsi="Times New Roman"/>
          <w:sz w:val="28"/>
          <w:szCs w:val="28"/>
        </w:rPr>
        <w:t>Le ministère public tribunal avait estimé que la formalité a été satisfaite par la mention sur le procès-verbal faisant état de l’autorisation par le procureur</w:t>
      </w:r>
      <w:r w:rsidR="00C356AF" w:rsidRPr="00CE4B80">
        <w:rPr>
          <w:rFonts w:ascii="Times New Roman" w:hAnsi="Times New Roman"/>
          <w:sz w:val="28"/>
          <w:szCs w:val="28"/>
        </w:rPr>
        <w:t xml:space="preserve"> de la République de la prolongation de la garde à vue en raison des indices graves et concordant de nature à motiver son inculpation et de l’information donnée à la personne gardée à vue des dispositions de l’article 56 du CPP</w:t>
      </w:r>
      <w:r w:rsidR="00997EC7" w:rsidRPr="00CE4B80">
        <w:rPr>
          <w:rFonts w:ascii="Times New Roman" w:hAnsi="Times New Roman"/>
          <w:sz w:val="28"/>
          <w:szCs w:val="28"/>
        </w:rPr>
        <w:t>.</w:t>
      </w:r>
    </w:p>
    <w:p w:rsidR="00997EC7" w:rsidRPr="00163FD9" w:rsidRDefault="00997EC7" w:rsidP="007945E0">
      <w:pPr>
        <w:jc w:val="both"/>
        <w:rPr>
          <w:rFonts w:ascii="Times New Roman" w:hAnsi="Times New Roman"/>
          <w:i/>
          <w:sz w:val="28"/>
          <w:szCs w:val="28"/>
        </w:rPr>
      </w:pPr>
      <w:r w:rsidRPr="00163FD9">
        <w:rPr>
          <w:rFonts w:ascii="Times New Roman" w:hAnsi="Times New Roman"/>
          <w:i/>
          <w:sz w:val="28"/>
          <w:szCs w:val="28"/>
        </w:rPr>
        <w:t>Le tribunal avait estimé que la formalité requise par la loi à ce niveau a été respectée dans la mesure où il a été donné connaissance à la personne gardée à vue des dispositions de l’article 56 du CPP conformément à la loi.</w:t>
      </w:r>
    </w:p>
    <w:p w:rsidR="00997EC7" w:rsidRPr="00163FD9" w:rsidRDefault="00E861CB" w:rsidP="007945E0">
      <w:pPr>
        <w:jc w:val="both"/>
        <w:rPr>
          <w:rFonts w:ascii="Times New Roman" w:hAnsi="Times New Roman"/>
          <w:b/>
          <w:i/>
          <w:sz w:val="28"/>
          <w:szCs w:val="28"/>
        </w:rPr>
      </w:pPr>
      <w:r w:rsidRPr="00163FD9">
        <w:rPr>
          <w:rFonts w:ascii="Times New Roman" w:hAnsi="Times New Roman"/>
          <w:b/>
          <w:i/>
          <w:sz w:val="28"/>
          <w:szCs w:val="28"/>
        </w:rPr>
        <w:t>Jugement n°08 du 06 février 2018</w:t>
      </w:r>
    </w:p>
    <w:p w:rsidR="00E861CB" w:rsidRPr="00CE4B80" w:rsidRDefault="00E861CB" w:rsidP="007945E0">
      <w:pPr>
        <w:jc w:val="both"/>
        <w:rPr>
          <w:rFonts w:ascii="Times New Roman" w:hAnsi="Times New Roman"/>
          <w:sz w:val="28"/>
          <w:szCs w:val="28"/>
        </w:rPr>
      </w:pPr>
      <w:r w:rsidRPr="00CE4B80">
        <w:rPr>
          <w:rFonts w:ascii="Times New Roman" w:hAnsi="Times New Roman"/>
          <w:sz w:val="28"/>
          <w:szCs w:val="28"/>
        </w:rPr>
        <w:t>Mais il reste tout de même à notre avis des zones d’ombre dans les textes de l’article 55 ancien comme nouveau du CPP.</w:t>
      </w:r>
    </w:p>
    <w:p w:rsidR="00E861CB" w:rsidRPr="00CE4B80" w:rsidRDefault="000226BD" w:rsidP="007945E0">
      <w:pPr>
        <w:jc w:val="both"/>
        <w:rPr>
          <w:rFonts w:ascii="Times New Roman" w:hAnsi="Times New Roman"/>
          <w:sz w:val="28"/>
          <w:szCs w:val="28"/>
        </w:rPr>
      </w:pPr>
      <w:r w:rsidRPr="00CE4B80">
        <w:rPr>
          <w:rFonts w:ascii="Times New Roman" w:hAnsi="Times New Roman"/>
          <w:sz w:val="28"/>
          <w:szCs w:val="28"/>
        </w:rPr>
        <w:t xml:space="preserve">La rédaction du texte n’est pas heureuse et prête elle-même à confusion. Même s’il peut être soutenu que le législateur veut, dans l’esprit de la loi, que </w:t>
      </w:r>
      <w:r w:rsidR="008A1BFD" w:rsidRPr="00CE4B80">
        <w:rPr>
          <w:rFonts w:ascii="Times New Roman" w:hAnsi="Times New Roman"/>
          <w:sz w:val="28"/>
          <w:szCs w:val="28"/>
        </w:rPr>
        <w:t>l’officier de police judiciaire informe le cas échéant la personne gardée à vue du motif de la prolongation de sa garde à vue, la loi</w:t>
      </w:r>
      <w:r w:rsidR="0098435F" w:rsidRPr="00CE4B80">
        <w:rPr>
          <w:rFonts w:ascii="Times New Roman" w:hAnsi="Times New Roman"/>
          <w:sz w:val="28"/>
          <w:szCs w:val="28"/>
        </w:rPr>
        <w:t xml:space="preserve"> semble retenir que cette formabilité est satisfaite en donnant  au mis en cause connaissance des dispositions de l’article 56 du CPP.</w:t>
      </w:r>
    </w:p>
    <w:p w:rsidR="0098435F" w:rsidRPr="00CE4B80" w:rsidRDefault="0098435F" w:rsidP="007945E0">
      <w:pPr>
        <w:jc w:val="both"/>
        <w:rPr>
          <w:rFonts w:ascii="Times New Roman" w:hAnsi="Times New Roman"/>
          <w:sz w:val="28"/>
          <w:szCs w:val="28"/>
        </w:rPr>
      </w:pPr>
      <w:r w:rsidRPr="00CE4B80">
        <w:rPr>
          <w:rFonts w:ascii="Times New Roman" w:hAnsi="Times New Roman"/>
          <w:sz w:val="28"/>
          <w:szCs w:val="28"/>
        </w:rPr>
        <w:t>En conséquence, il est jugé que les formalités prescrites par la loi sont satisfaites dès l’instant que la personne gardée à vue a été informée de ses droits prévus à l’article 56 du CPP. Or la seule lecture de ces dispositions ne permet nullement de remplir l’objet poursuivi relativement au motif de la prolongation de la garde à vue.</w:t>
      </w:r>
    </w:p>
    <w:p w:rsidR="0098435F" w:rsidRPr="00CE4B80" w:rsidRDefault="0098435F" w:rsidP="007945E0">
      <w:pPr>
        <w:jc w:val="both"/>
        <w:rPr>
          <w:rFonts w:ascii="Times New Roman" w:hAnsi="Times New Roman"/>
          <w:sz w:val="28"/>
          <w:szCs w:val="28"/>
        </w:rPr>
      </w:pPr>
      <w:r w:rsidRPr="00CE4B80">
        <w:rPr>
          <w:rFonts w:ascii="Times New Roman" w:hAnsi="Times New Roman"/>
          <w:sz w:val="28"/>
          <w:szCs w:val="28"/>
        </w:rPr>
        <w:lastRenderedPageBreak/>
        <w:t>Nous estimons qu’il appartient au ministère public d’instruire les officiers de police judiciaire pour qu’ils mentionnent à l’avenir, sur leurs procès-verbaux qu’information a été donnée à la personne gardée à vue des motifs de la prolongation de sa garde à vue et, mieux, en lui indiquant lesdits motifs qui devront apparaitre sur le procès-verbal.</w:t>
      </w:r>
    </w:p>
    <w:p w:rsidR="0098435F" w:rsidRPr="00CE4B80" w:rsidRDefault="002D6831" w:rsidP="007945E0">
      <w:pPr>
        <w:jc w:val="both"/>
        <w:rPr>
          <w:rFonts w:ascii="Times New Roman" w:hAnsi="Times New Roman"/>
          <w:b/>
          <w:sz w:val="28"/>
          <w:szCs w:val="28"/>
        </w:rPr>
      </w:pPr>
      <w:r w:rsidRPr="00CE4B80">
        <w:rPr>
          <w:rFonts w:ascii="Times New Roman" w:hAnsi="Times New Roman"/>
          <w:b/>
          <w:sz w:val="28"/>
          <w:szCs w:val="28"/>
        </w:rPr>
        <w:t xml:space="preserve">5 – Les </w:t>
      </w:r>
      <w:r w:rsidR="00C62858" w:rsidRPr="00CE4B80">
        <w:rPr>
          <w:rFonts w:ascii="Times New Roman" w:hAnsi="Times New Roman"/>
          <w:b/>
          <w:sz w:val="28"/>
          <w:szCs w:val="28"/>
        </w:rPr>
        <w:t>nullités</w:t>
      </w:r>
      <w:r w:rsidRPr="00CE4B80">
        <w:rPr>
          <w:rFonts w:ascii="Times New Roman" w:hAnsi="Times New Roman"/>
          <w:b/>
          <w:sz w:val="28"/>
          <w:szCs w:val="28"/>
        </w:rPr>
        <w:t xml:space="preserve"> tirées des articles 306 du code des douanes et 57 du CPP</w:t>
      </w:r>
    </w:p>
    <w:p w:rsidR="002D6831" w:rsidRPr="00CE4B80" w:rsidRDefault="00BC18D8" w:rsidP="007945E0">
      <w:pPr>
        <w:jc w:val="both"/>
        <w:rPr>
          <w:rFonts w:ascii="Times New Roman" w:hAnsi="Times New Roman"/>
          <w:sz w:val="28"/>
          <w:szCs w:val="28"/>
        </w:rPr>
      </w:pPr>
      <w:r w:rsidRPr="00CE4B80">
        <w:rPr>
          <w:rFonts w:ascii="Times New Roman" w:hAnsi="Times New Roman"/>
          <w:sz w:val="28"/>
          <w:szCs w:val="28"/>
        </w:rPr>
        <w:t xml:space="preserve">L’article 57 du CPP auquel renvoient les articles 306 e 311 du code des douanes indique que le procès-verbal d’audition de toute personne gardée à vue doit mentionner le jour et l’heure à partir desquels elle a été placée dans cette position, les motifs de la mise sous garde à vue, la durée des interrogatoires, la durée des repos ainsi que </w:t>
      </w:r>
      <w:r w:rsidR="00D2539A">
        <w:rPr>
          <w:rFonts w:ascii="Times New Roman" w:hAnsi="Times New Roman"/>
          <w:sz w:val="28"/>
          <w:szCs w:val="28"/>
        </w:rPr>
        <w:t>le</w:t>
      </w:r>
      <w:r w:rsidRPr="00CE4B80">
        <w:rPr>
          <w:rFonts w:ascii="Times New Roman" w:hAnsi="Times New Roman"/>
          <w:sz w:val="28"/>
          <w:szCs w:val="28"/>
        </w:rPr>
        <w:t xml:space="preserve"> jour et l’heure à partir desquels elle a été soit libérée, soit conduite devant le magistrat compétent ? le texte ajoute que cette mention doit être spécialement émargée par les personnes intéressées et en cas de refus, il en est fait mention au procès-verbal, à peine de nullité.</w:t>
      </w:r>
    </w:p>
    <w:p w:rsidR="00BC18D8" w:rsidRPr="00CE4B80" w:rsidRDefault="00D828D9" w:rsidP="007945E0">
      <w:pPr>
        <w:jc w:val="both"/>
        <w:rPr>
          <w:rFonts w:ascii="Times New Roman" w:hAnsi="Times New Roman"/>
          <w:sz w:val="28"/>
          <w:szCs w:val="28"/>
        </w:rPr>
      </w:pPr>
      <w:r w:rsidRPr="00CE4B80">
        <w:rPr>
          <w:rFonts w:ascii="Times New Roman" w:hAnsi="Times New Roman"/>
          <w:sz w:val="28"/>
          <w:szCs w:val="28"/>
        </w:rPr>
        <w:t>Ici, il semble que c’est l’omission de mentionner le refus par la personne gardée</w:t>
      </w:r>
      <w:r w:rsidR="00D2539A">
        <w:rPr>
          <w:rFonts w:ascii="Times New Roman" w:hAnsi="Times New Roman"/>
          <w:sz w:val="28"/>
          <w:szCs w:val="28"/>
        </w:rPr>
        <w:t xml:space="preserve"> à vue d’émarger la mention sus-</w:t>
      </w:r>
      <w:r w:rsidRPr="00CE4B80">
        <w:rPr>
          <w:rFonts w:ascii="Times New Roman" w:hAnsi="Times New Roman"/>
          <w:sz w:val="28"/>
          <w:szCs w:val="28"/>
        </w:rPr>
        <w:t>indiquée qui est sanctionnée de nullité.</w:t>
      </w:r>
    </w:p>
    <w:p w:rsidR="00D828D9" w:rsidRPr="00CE4B80" w:rsidRDefault="00D828D9" w:rsidP="007945E0">
      <w:pPr>
        <w:jc w:val="both"/>
        <w:rPr>
          <w:rFonts w:ascii="Times New Roman" w:hAnsi="Times New Roman"/>
          <w:sz w:val="28"/>
          <w:szCs w:val="28"/>
        </w:rPr>
      </w:pPr>
      <w:r w:rsidRPr="00CE4B80">
        <w:rPr>
          <w:rFonts w:ascii="Times New Roman" w:hAnsi="Times New Roman"/>
          <w:sz w:val="28"/>
          <w:szCs w:val="28"/>
        </w:rPr>
        <w:t>Par conséquent n’encours pas de nullité le procès-verbal indiquant que la personne gardée à vue a bien accepté de signer la mention</w:t>
      </w:r>
      <w:r w:rsidR="006A3593" w:rsidRPr="00CE4B80">
        <w:rPr>
          <w:rFonts w:ascii="Times New Roman" w:hAnsi="Times New Roman"/>
          <w:sz w:val="28"/>
          <w:szCs w:val="28"/>
        </w:rPr>
        <w:t xml:space="preserve"> </w:t>
      </w:r>
      <w:r w:rsidRPr="00CE4B80">
        <w:rPr>
          <w:rFonts w:ascii="Times New Roman" w:hAnsi="Times New Roman"/>
          <w:sz w:val="28"/>
          <w:szCs w:val="28"/>
        </w:rPr>
        <w:t>(et n’a donc pas refusé) même si en fin de compte elle n’a pas signé l’acte.</w:t>
      </w:r>
    </w:p>
    <w:p w:rsidR="00D828D9" w:rsidRPr="00CE4B80" w:rsidRDefault="005C6F12" w:rsidP="007945E0">
      <w:pPr>
        <w:jc w:val="both"/>
        <w:rPr>
          <w:rFonts w:ascii="Times New Roman" w:hAnsi="Times New Roman"/>
          <w:b/>
          <w:sz w:val="28"/>
          <w:szCs w:val="28"/>
        </w:rPr>
      </w:pPr>
      <w:r w:rsidRPr="00CE4B80">
        <w:rPr>
          <w:rFonts w:ascii="Times New Roman" w:hAnsi="Times New Roman"/>
          <w:b/>
          <w:sz w:val="28"/>
          <w:szCs w:val="28"/>
        </w:rPr>
        <w:t>TGI de Kaolack jugement 47/2017 du 03 octobre 2017</w:t>
      </w:r>
    </w:p>
    <w:p w:rsidR="005C6F12" w:rsidRPr="00CE4B80" w:rsidRDefault="005C6F12" w:rsidP="007945E0">
      <w:pPr>
        <w:jc w:val="both"/>
        <w:rPr>
          <w:rFonts w:ascii="Times New Roman" w:hAnsi="Times New Roman"/>
          <w:sz w:val="28"/>
          <w:szCs w:val="28"/>
        </w:rPr>
      </w:pPr>
      <w:r w:rsidRPr="00CE4B80">
        <w:rPr>
          <w:rFonts w:ascii="Times New Roman" w:hAnsi="Times New Roman"/>
          <w:sz w:val="28"/>
          <w:szCs w:val="28"/>
        </w:rPr>
        <w:t>Affaire Ministère public contre Moustapha DIENG (maître Cheikh SY) poursuivi pour trafic de chanvre indien et contrebande, faits prévus et punis par les articles  97 du code des drogues et 391 et suivants du code des douanes.</w:t>
      </w:r>
    </w:p>
    <w:p w:rsidR="005C6F12" w:rsidRPr="00CE4B80" w:rsidRDefault="00025D4A" w:rsidP="007945E0">
      <w:pPr>
        <w:jc w:val="both"/>
        <w:rPr>
          <w:rFonts w:ascii="Times New Roman" w:hAnsi="Times New Roman"/>
          <w:b/>
          <w:sz w:val="28"/>
          <w:szCs w:val="28"/>
        </w:rPr>
      </w:pPr>
      <w:r w:rsidRPr="00CE4B80">
        <w:rPr>
          <w:rFonts w:ascii="Times New Roman" w:hAnsi="Times New Roman"/>
          <w:b/>
          <w:sz w:val="28"/>
          <w:szCs w:val="28"/>
        </w:rPr>
        <w:t>6 – Sur les nullités pouvant affecter l’ordonnance de renvoi</w:t>
      </w:r>
    </w:p>
    <w:p w:rsidR="00E861CB" w:rsidRPr="00CE4B80" w:rsidRDefault="00025D4A" w:rsidP="007945E0">
      <w:pPr>
        <w:jc w:val="both"/>
        <w:rPr>
          <w:rFonts w:ascii="Times New Roman" w:hAnsi="Times New Roman"/>
          <w:sz w:val="28"/>
          <w:szCs w:val="28"/>
        </w:rPr>
      </w:pPr>
      <w:r w:rsidRPr="00CE4B80">
        <w:rPr>
          <w:rFonts w:ascii="Times New Roman" w:hAnsi="Times New Roman"/>
          <w:sz w:val="28"/>
          <w:szCs w:val="28"/>
        </w:rPr>
        <w:t>A été annulée l’ordonnance clôturant l’information contre X inculpé de trafic intérieur de chanvre indien et qui a renvoyé le même X devant la chambre criminelle mais pour trafic international de chanvre indien sans requalification et pour des charges retenus contre Y.</w:t>
      </w:r>
    </w:p>
    <w:p w:rsidR="00025D4A" w:rsidRDefault="00025D4A" w:rsidP="007945E0">
      <w:pPr>
        <w:jc w:val="both"/>
        <w:rPr>
          <w:rFonts w:ascii="Times New Roman" w:hAnsi="Times New Roman"/>
          <w:sz w:val="28"/>
          <w:szCs w:val="28"/>
        </w:rPr>
      </w:pPr>
      <w:r w:rsidRPr="00CE4B80">
        <w:rPr>
          <w:rFonts w:ascii="Times New Roman" w:hAnsi="Times New Roman"/>
          <w:sz w:val="28"/>
          <w:szCs w:val="28"/>
        </w:rPr>
        <w:t>Le tribunal a estimé que les contradictions et erreurs sur l’ordonnance de renvoi étaient impossibles à redresser et avait décidé de son annulation tout en ordonnant la régularisation de la procédure.</w:t>
      </w:r>
    </w:p>
    <w:p w:rsidR="002053B5" w:rsidRPr="00CE4B80" w:rsidRDefault="002053B5" w:rsidP="007945E0">
      <w:pPr>
        <w:jc w:val="both"/>
        <w:rPr>
          <w:rFonts w:ascii="Times New Roman" w:hAnsi="Times New Roman"/>
          <w:sz w:val="28"/>
          <w:szCs w:val="28"/>
        </w:rPr>
      </w:pPr>
      <w:bookmarkStart w:id="0" w:name="_GoBack"/>
      <w:bookmarkEnd w:id="0"/>
    </w:p>
    <w:p w:rsidR="00025D4A" w:rsidRPr="00CE4B80" w:rsidRDefault="002F4E55" w:rsidP="007945E0">
      <w:pPr>
        <w:jc w:val="both"/>
        <w:rPr>
          <w:rFonts w:ascii="Times New Roman" w:hAnsi="Times New Roman"/>
          <w:b/>
          <w:sz w:val="28"/>
          <w:szCs w:val="28"/>
        </w:rPr>
      </w:pPr>
      <w:r w:rsidRPr="00CE4B80">
        <w:rPr>
          <w:rFonts w:ascii="Times New Roman" w:hAnsi="Times New Roman"/>
          <w:b/>
          <w:sz w:val="28"/>
          <w:szCs w:val="28"/>
        </w:rPr>
        <w:lastRenderedPageBreak/>
        <w:t>TGI Kaolack jugement n°68 du 19 décembre 2017</w:t>
      </w:r>
    </w:p>
    <w:p w:rsidR="002F4E55" w:rsidRPr="00CE4B80" w:rsidRDefault="002F4E55" w:rsidP="007945E0">
      <w:pPr>
        <w:jc w:val="both"/>
        <w:rPr>
          <w:rFonts w:ascii="Times New Roman" w:hAnsi="Times New Roman"/>
          <w:sz w:val="28"/>
          <w:szCs w:val="28"/>
        </w:rPr>
      </w:pPr>
      <w:r w:rsidRPr="00CE4B80">
        <w:rPr>
          <w:rFonts w:ascii="Times New Roman" w:hAnsi="Times New Roman"/>
          <w:sz w:val="28"/>
          <w:szCs w:val="28"/>
        </w:rPr>
        <w:t xml:space="preserve">Affaire Ministère public contre </w:t>
      </w:r>
      <w:proofErr w:type="spellStart"/>
      <w:r w:rsidRPr="00CE4B80">
        <w:rPr>
          <w:rFonts w:ascii="Times New Roman" w:hAnsi="Times New Roman"/>
          <w:sz w:val="28"/>
          <w:szCs w:val="28"/>
        </w:rPr>
        <w:t>Ansoumana</w:t>
      </w:r>
      <w:proofErr w:type="spellEnd"/>
      <w:r w:rsidRPr="00CE4B80">
        <w:rPr>
          <w:rFonts w:ascii="Times New Roman" w:hAnsi="Times New Roman"/>
          <w:sz w:val="28"/>
          <w:szCs w:val="28"/>
        </w:rPr>
        <w:t xml:space="preserve"> SANE accusé de trafic international de chanvre indien – articles</w:t>
      </w:r>
    </w:p>
    <w:p w:rsidR="002F4E55" w:rsidRPr="00CE4B80" w:rsidRDefault="002F4E55" w:rsidP="007945E0">
      <w:pPr>
        <w:jc w:val="both"/>
        <w:rPr>
          <w:rFonts w:ascii="Times New Roman" w:hAnsi="Times New Roman"/>
          <w:b/>
          <w:sz w:val="28"/>
          <w:szCs w:val="28"/>
        </w:rPr>
      </w:pPr>
      <w:r w:rsidRPr="00CE4B80">
        <w:rPr>
          <w:rFonts w:ascii="Times New Roman" w:hAnsi="Times New Roman"/>
          <w:b/>
          <w:sz w:val="28"/>
          <w:szCs w:val="28"/>
        </w:rPr>
        <w:t>7 – Les pouvoirs du tribunal après annulation si la procédure doit être poursuivie</w:t>
      </w:r>
    </w:p>
    <w:p w:rsidR="002F4E55" w:rsidRPr="00CE4B80" w:rsidRDefault="002F4E55" w:rsidP="007945E0">
      <w:pPr>
        <w:jc w:val="both"/>
        <w:rPr>
          <w:rFonts w:ascii="Times New Roman" w:hAnsi="Times New Roman"/>
          <w:sz w:val="28"/>
          <w:szCs w:val="28"/>
        </w:rPr>
      </w:pPr>
      <w:r w:rsidRPr="00CE4B80">
        <w:rPr>
          <w:rFonts w:ascii="Times New Roman" w:hAnsi="Times New Roman"/>
          <w:sz w:val="28"/>
          <w:szCs w:val="28"/>
        </w:rPr>
        <w:t>Selon l’article 168 du CPP la juridiction correctionnelle ou de simple police peut, le ministère public entendu, décider si l’annulation doit s’étendre à tout ou partie de la procédure ultérieure.</w:t>
      </w:r>
    </w:p>
    <w:p w:rsidR="002F4E55" w:rsidRPr="00CE4B80" w:rsidRDefault="002F4E55" w:rsidP="007945E0">
      <w:pPr>
        <w:jc w:val="both"/>
        <w:rPr>
          <w:rFonts w:ascii="Times New Roman" w:hAnsi="Times New Roman"/>
          <w:sz w:val="28"/>
          <w:szCs w:val="28"/>
        </w:rPr>
      </w:pPr>
      <w:r w:rsidRPr="00CE4B80">
        <w:rPr>
          <w:rFonts w:ascii="Times New Roman" w:hAnsi="Times New Roman"/>
          <w:sz w:val="28"/>
          <w:szCs w:val="28"/>
        </w:rPr>
        <w:t xml:space="preserve">Au cas où la nullité de l’acte entraine la nullité de toute la procédure ultérieure, elle ordonne un supplément d’information si la nullité est réparable ou, s’il y </w:t>
      </w:r>
      <w:proofErr w:type="spellStart"/>
      <w:r w:rsidRPr="00CE4B80">
        <w:rPr>
          <w:rFonts w:ascii="Times New Roman" w:hAnsi="Times New Roman"/>
          <w:sz w:val="28"/>
          <w:szCs w:val="28"/>
        </w:rPr>
        <w:t>échet</w:t>
      </w:r>
      <w:proofErr w:type="spellEnd"/>
      <w:r w:rsidRPr="00CE4B80">
        <w:rPr>
          <w:rFonts w:ascii="Times New Roman" w:hAnsi="Times New Roman"/>
          <w:sz w:val="28"/>
          <w:szCs w:val="28"/>
        </w:rPr>
        <w:t>, elle renvoie le ministère public à se pourvoir.</w:t>
      </w:r>
    </w:p>
    <w:p w:rsidR="002F4E55" w:rsidRPr="00CE4B80" w:rsidRDefault="002F4E55" w:rsidP="007945E0">
      <w:pPr>
        <w:jc w:val="both"/>
        <w:rPr>
          <w:rFonts w:ascii="Times New Roman" w:hAnsi="Times New Roman"/>
          <w:sz w:val="28"/>
          <w:szCs w:val="28"/>
        </w:rPr>
      </w:pPr>
      <w:r w:rsidRPr="00CE4B80">
        <w:rPr>
          <w:rFonts w:ascii="Times New Roman" w:hAnsi="Times New Roman"/>
          <w:sz w:val="28"/>
          <w:szCs w:val="28"/>
        </w:rPr>
        <w:t>Note sous l’article 164 du CPP</w:t>
      </w:r>
    </w:p>
    <w:p w:rsidR="002F4E55" w:rsidRPr="00CE4B80" w:rsidRDefault="00D32A38" w:rsidP="007945E0">
      <w:pPr>
        <w:jc w:val="both"/>
        <w:rPr>
          <w:rFonts w:ascii="Times New Roman" w:hAnsi="Times New Roman"/>
          <w:sz w:val="28"/>
          <w:szCs w:val="28"/>
        </w:rPr>
      </w:pPr>
      <w:r w:rsidRPr="00CE4B80">
        <w:rPr>
          <w:rFonts w:ascii="Times New Roman" w:hAnsi="Times New Roman"/>
          <w:sz w:val="28"/>
          <w:szCs w:val="28"/>
        </w:rPr>
        <w:t xml:space="preserve">« Considérant qu’en annulant la procédure, la juridiction saisie ne peut désigner elle-même un juge d’instruction et lui renvoyer le </w:t>
      </w:r>
      <w:r w:rsidR="00BA0DB3" w:rsidRPr="00CE4B80">
        <w:rPr>
          <w:rFonts w:ascii="Times New Roman" w:hAnsi="Times New Roman"/>
          <w:sz w:val="28"/>
          <w:szCs w:val="28"/>
        </w:rPr>
        <w:t>dossier</w:t>
      </w:r>
      <w:r w:rsidRPr="00CE4B80">
        <w:rPr>
          <w:rFonts w:ascii="Times New Roman" w:hAnsi="Times New Roman"/>
          <w:sz w:val="28"/>
          <w:szCs w:val="28"/>
        </w:rPr>
        <w:t>. L</w:t>
      </w:r>
      <w:r w:rsidR="00D2539A">
        <w:rPr>
          <w:rFonts w:ascii="Times New Roman" w:hAnsi="Times New Roman"/>
          <w:sz w:val="28"/>
          <w:szCs w:val="28"/>
        </w:rPr>
        <w:t>a</w:t>
      </w:r>
      <w:r w:rsidRPr="00CE4B80">
        <w:rPr>
          <w:rFonts w:ascii="Times New Roman" w:hAnsi="Times New Roman"/>
          <w:sz w:val="28"/>
          <w:szCs w:val="28"/>
        </w:rPr>
        <w:t xml:space="preserve"> juridiction s’étant elle-même dessaisie en annulant la procédure, doit seulement renvoyer le ministère public et les parties à se pourvoir ainsi qu’ils aviseront ».</w:t>
      </w:r>
    </w:p>
    <w:p w:rsidR="00C25EA7" w:rsidRPr="00CE4B80" w:rsidRDefault="00BA0DB3" w:rsidP="007945E0">
      <w:pPr>
        <w:jc w:val="both"/>
        <w:rPr>
          <w:rFonts w:ascii="Times New Roman" w:hAnsi="Times New Roman"/>
          <w:b/>
          <w:sz w:val="28"/>
          <w:szCs w:val="28"/>
        </w:rPr>
      </w:pPr>
      <w:r w:rsidRPr="00CE4B80">
        <w:rPr>
          <w:rFonts w:ascii="Times New Roman" w:hAnsi="Times New Roman"/>
          <w:b/>
          <w:sz w:val="28"/>
          <w:szCs w:val="28"/>
        </w:rPr>
        <w:t>8 – Que peut faire alors le ministère public après l’annulation de la procédure par le tribunal ?</w:t>
      </w:r>
    </w:p>
    <w:p w:rsidR="00BA0DB3" w:rsidRPr="00CE4B80" w:rsidRDefault="00BA0DB3" w:rsidP="007945E0">
      <w:pPr>
        <w:jc w:val="both"/>
        <w:rPr>
          <w:rFonts w:ascii="Times New Roman" w:hAnsi="Times New Roman"/>
          <w:sz w:val="28"/>
          <w:szCs w:val="28"/>
        </w:rPr>
      </w:pPr>
    </w:p>
    <w:p w:rsidR="00997EC7" w:rsidRPr="00CE4B80" w:rsidRDefault="00997EC7" w:rsidP="007945E0">
      <w:pPr>
        <w:jc w:val="both"/>
        <w:rPr>
          <w:rFonts w:ascii="Times New Roman" w:hAnsi="Times New Roman"/>
          <w:sz w:val="28"/>
          <w:szCs w:val="28"/>
        </w:rPr>
      </w:pPr>
    </w:p>
    <w:p w:rsidR="005924BE" w:rsidRPr="00CE4B80" w:rsidRDefault="005924BE" w:rsidP="007945E0">
      <w:pPr>
        <w:jc w:val="both"/>
        <w:rPr>
          <w:rFonts w:ascii="Times New Roman" w:hAnsi="Times New Roman"/>
          <w:sz w:val="28"/>
          <w:szCs w:val="28"/>
        </w:rPr>
      </w:pPr>
    </w:p>
    <w:p w:rsidR="00190028" w:rsidRPr="00CE4B80" w:rsidRDefault="00190028" w:rsidP="007945E0">
      <w:pPr>
        <w:jc w:val="both"/>
        <w:rPr>
          <w:rFonts w:ascii="Times New Roman" w:hAnsi="Times New Roman"/>
          <w:sz w:val="28"/>
          <w:szCs w:val="28"/>
        </w:rPr>
      </w:pPr>
    </w:p>
    <w:p w:rsidR="0012368B" w:rsidRPr="00CE4B80" w:rsidRDefault="0012368B" w:rsidP="007945E0">
      <w:pPr>
        <w:jc w:val="both"/>
        <w:rPr>
          <w:rFonts w:ascii="Times New Roman" w:hAnsi="Times New Roman"/>
          <w:sz w:val="28"/>
          <w:szCs w:val="28"/>
        </w:rPr>
      </w:pPr>
    </w:p>
    <w:sectPr w:rsidR="0012368B" w:rsidRPr="00CE4B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9E7"/>
    <w:rsid w:val="000226BD"/>
    <w:rsid w:val="00025D4A"/>
    <w:rsid w:val="00085CAD"/>
    <w:rsid w:val="000D57C5"/>
    <w:rsid w:val="000D7A53"/>
    <w:rsid w:val="00106EAE"/>
    <w:rsid w:val="0012368B"/>
    <w:rsid w:val="00163FD9"/>
    <w:rsid w:val="00165203"/>
    <w:rsid w:val="00190028"/>
    <w:rsid w:val="002053B5"/>
    <w:rsid w:val="002D6831"/>
    <w:rsid w:val="002F4E55"/>
    <w:rsid w:val="002F56EC"/>
    <w:rsid w:val="00326F1C"/>
    <w:rsid w:val="0033404D"/>
    <w:rsid w:val="004549BC"/>
    <w:rsid w:val="004C6CA0"/>
    <w:rsid w:val="005924BE"/>
    <w:rsid w:val="005B68BC"/>
    <w:rsid w:val="005C6F12"/>
    <w:rsid w:val="00657AA0"/>
    <w:rsid w:val="00664BD1"/>
    <w:rsid w:val="00691D34"/>
    <w:rsid w:val="00696A8E"/>
    <w:rsid w:val="006A3593"/>
    <w:rsid w:val="006D3EC2"/>
    <w:rsid w:val="006D59E7"/>
    <w:rsid w:val="00700912"/>
    <w:rsid w:val="007402CE"/>
    <w:rsid w:val="007945E0"/>
    <w:rsid w:val="00811C9F"/>
    <w:rsid w:val="00831E60"/>
    <w:rsid w:val="008602A2"/>
    <w:rsid w:val="008A1BFD"/>
    <w:rsid w:val="0094105A"/>
    <w:rsid w:val="00972009"/>
    <w:rsid w:val="0098435F"/>
    <w:rsid w:val="00997EC7"/>
    <w:rsid w:val="00A10042"/>
    <w:rsid w:val="00A230CB"/>
    <w:rsid w:val="00AE56C6"/>
    <w:rsid w:val="00B14DD7"/>
    <w:rsid w:val="00BA0DB3"/>
    <w:rsid w:val="00BC18D8"/>
    <w:rsid w:val="00BD6A9C"/>
    <w:rsid w:val="00C25EA7"/>
    <w:rsid w:val="00C27006"/>
    <w:rsid w:val="00C356AF"/>
    <w:rsid w:val="00C62858"/>
    <w:rsid w:val="00CE4B80"/>
    <w:rsid w:val="00CF25F9"/>
    <w:rsid w:val="00D2539A"/>
    <w:rsid w:val="00D32A38"/>
    <w:rsid w:val="00D5756B"/>
    <w:rsid w:val="00D828D9"/>
    <w:rsid w:val="00DC3121"/>
    <w:rsid w:val="00DE26D7"/>
    <w:rsid w:val="00E861CB"/>
    <w:rsid w:val="00E864DB"/>
    <w:rsid w:val="00EB52E0"/>
    <w:rsid w:val="00F03F58"/>
    <w:rsid w:val="00F139E4"/>
    <w:rsid w:val="00F175BC"/>
    <w:rsid w:val="00F36A24"/>
    <w:rsid w:val="00F841AF"/>
    <w:rsid w:val="00FC43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053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053B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053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053B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2754</Words>
  <Characters>15150</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CFJ</cp:lastModifiedBy>
  <cp:revision>3</cp:revision>
  <dcterms:created xsi:type="dcterms:W3CDTF">2018-05-14T16:49:00Z</dcterms:created>
  <dcterms:modified xsi:type="dcterms:W3CDTF">2018-05-14T16:50:00Z</dcterms:modified>
</cp:coreProperties>
</file>